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第二章</w:t>
      </w:r>
      <w:r>
        <w:rPr>
          <w:rFonts w:hint="eastAsia" w:ascii="微软雅黑" w:hAnsi="微软雅黑" w:eastAsia="微软雅黑" w:cs="微软雅黑"/>
          <w:b/>
          <w:bCs/>
          <w:color w:val="000000"/>
          <w:sz w:val="18"/>
          <w:szCs w:val="18"/>
        </w:rPr>
        <w:t xml:space="preserve"> 安全生产规章制度和特种设备管理</w:t>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大纲要求</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1．安全生产管理机构设置和人员配备。</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2．安全生产规章制度制定和修订。</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3．安全教育培训。</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4．特种设备安全管理和相关方安全管理。</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考点汇总与分值解析</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drawing>
          <wp:inline distT="0" distB="0" distL="0" distR="0">
            <wp:extent cx="5274310" cy="1220470"/>
            <wp:effectExtent l="19050" t="0" r="254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
                    <a:stretch>
                      <a:fillRect/>
                    </a:stretch>
                  </pic:blipFill>
                  <pic:spPr>
                    <a:xfrm>
                      <a:off x="0" y="0"/>
                      <a:ext cx="5274310" cy="1220470"/>
                    </a:xfrm>
                    <a:prstGeom prst="rect">
                      <a:avLst/>
                    </a:prstGeom>
                  </pic:spPr>
                </pic:pic>
              </a:graphicData>
            </a:graphic>
          </wp:inline>
        </w:drawing>
      </w:r>
    </w:p>
    <w:p>
      <w:pPr>
        <w:rPr>
          <w:rFonts w:hint="eastAsia" w:ascii="微软雅黑" w:hAnsi="微软雅黑" w:eastAsia="微软雅黑" w:cs="微软雅黑"/>
          <w:b/>
          <w:bCs/>
          <w:color w:val="000000"/>
          <w:sz w:val="18"/>
          <w:szCs w:val="18"/>
        </w:rPr>
      </w:pPr>
      <w:r>
        <w:rPr>
          <w:rFonts w:hint="eastAsia" w:ascii="微软雅黑" w:hAnsi="微软雅黑" w:eastAsia="微软雅黑" w:cs="微软雅黑"/>
          <w:b/>
          <w:bCs/>
          <w:color w:val="000000"/>
          <w:sz w:val="18"/>
          <w:szCs w:val="18"/>
        </w:rPr>
        <w:t>考点精编</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考点一</w:t>
      </w:r>
      <w:r>
        <w:rPr>
          <w:rFonts w:hint="eastAsia" w:ascii="微软雅黑" w:hAnsi="微软雅黑" w:eastAsia="微软雅黑" w:cs="微软雅黑"/>
          <w:color w:val="000000"/>
          <w:sz w:val="18"/>
          <w:szCs w:val="18"/>
        </w:rPr>
        <w:t>安全生产管理机构和安全生产管理人员的配置(表2一1)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2—1安全生产管理机构和安全生产管理人员的配置</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76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安全生产管理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机构的规定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《安全生产法》规定，生产经营单位应当具备的安全生产条件所必需的资金投入，由生产经</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营单位的决策机构、主要负责人或者个人经营的投资人予以保证，并对由于安全生产所必需的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资金投入不足导致的后果承担责任。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有关生产经营单位应当按照规定提取和使用安全生产费用，专门用于改善安全生产条件。安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全生产费用在成本中据实列支。安全生产费用提取、使用和监督管理的具体办法由国务院财政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部门会同国务院安全生产监督管理部门征求国务院有关部门意见后制定</w:t>
            </w:r>
          </w:p>
        </w:tc>
      </w:tr>
      <w:tr>
        <w:tblPrEx>
          <w:tblLayout w:type="fixed"/>
          <w:tblCellMar>
            <w:top w:w="0" w:type="dxa"/>
            <w:left w:w="0" w:type="dxa"/>
            <w:bottom w:w="0" w:type="dxa"/>
            <w:right w:w="0" w:type="dxa"/>
          </w:tblCellMar>
        </w:tblPrEx>
        <w:trPr>
          <w:trHeight w:val="1444"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人员的配置</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《安全生产法》规定．矿山、金属冶炼、建筑施工、道路运输单位和危险物品的生产、经营、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储存单位，应当设置安全生产管理机构或者配备专职安全生产管理人员。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前款规定以外的其他生产经营单位，从业人员超过</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人的，应当设置安全生产管理机构或</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者配备专职安全生产管理人员；从业人员在</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人以下的，应当配备专职或者兼职的安全生产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管理人员</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294"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生产经营单位的安全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生产管理机构及安全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管理人员职责</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《安全生产法》规定，生产经营单位的安全生产管理机构以及安全生产管理人员履行下列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职责：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组织或者参与拟订本单位安全生产规章制度、操作规程和生产安全事故应急救援预案。</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组织或者参与本单位安全生产教育和培训，如实记录安全生产教育和培训情况。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督促落实本单位重大危险源的安全管理措施。</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组织或者参与本单位应急救援演练。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检查本单位的安全生产状况，及时排查生产安全事故隐患，提出改进安全生产管理的建议。</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制止和纠正违章指挥、强令冒险作业、违反操作规程的行为。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督促落实本单位安全生产整改措施</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考点二</w:t>
      </w:r>
      <w:r>
        <w:rPr>
          <w:rFonts w:hint="eastAsia" w:ascii="微软雅黑" w:hAnsi="微软雅黑" w:eastAsia="微软雅黑" w:cs="微软雅黑"/>
          <w:color w:val="000000"/>
          <w:sz w:val="18"/>
          <w:szCs w:val="18"/>
        </w:rPr>
        <w:t>安全生产规章制度的概述(表2—2)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2—2安全生产规章制度的概述</w:t>
      </w:r>
    </w:p>
    <w:tbl>
      <w:tblPr>
        <w:tblStyle w:val="4"/>
        <w:tblW w:w="8419" w:type="dxa"/>
        <w:tblInd w:w="15" w:type="dxa"/>
        <w:tblLayout w:type="fixed"/>
        <w:tblCellMar>
          <w:top w:w="0" w:type="dxa"/>
          <w:left w:w="0" w:type="dxa"/>
          <w:bottom w:w="0" w:type="dxa"/>
          <w:right w:w="0" w:type="dxa"/>
        </w:tblCellMar>
      </w:tblPr>
      <w:tblGrid>
        <w:gridCol w:w="465"/>
        <w:gridCol w:w="1123"/>
        <w:gridCol w:w="683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安全生产规章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制度概念</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生产经营单位依据国家有关法律法规、国家和行业标准，结合生产经营的安全生产实际，以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生产经营单位名义颁发的有关安全生产的规范性文件</w:t>
            </w:r>
          </w:p>
        </w:tc>
      </w:tr>
      <w:tr>
        <w:tblPrEx>
          <w:tblLayout w:type="fixed"/>
          <w:tblCellMar>
            <w:top w:w="0" w:type="dxa"/>
            <w:left w:w="0" w:type="dxa"/>
            <w:bottom w:w="0" w:type="dxa"/>
            <w:right w:w="0" w:type="dxa"/>
          </w:tblCellMar>
        </w:tblPrEx>
        <w:trPr>
          <w:trHeight w:val="801"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建立的必要性</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是生产经营单位的法定责任。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是生产经营单位安全生产的重要保障。</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是生产经营单位保护从业人员安全与健康的重要手段</w:t>
            </w:r>
          </w:p>
        </w:tc>
      </w:tr>
      <w:tr>
        <w:tblPrEx>
          <w:tblLayout w:type="fixed"/>
          <w:tblCellMar>
            <w:top w:w="0" w:type="dxa"/>
            <w:left w:w="0" w:type="dxa"/>
            <w:bottom w:w="0" w:type="dxa"/>
            <w:right w:w="0" w:type="dxa"/>
          </w:tblCellMar>
        </w:tblPrEx>
        <w:trPr>
          <w:trHeight w:val="806"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的依</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依据</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安全生产法律法规、国家和行业标准、地方政府的法规和标准。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国际、国内先进的安全管理方法。</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职业安全健康管理体系、风险评估和安全评价体系的建立</w:t>
            </w:r>
          </w:p>
        </w:tc>
      </w:tr>
      <w:tr>
        <w:tblPrEx>
          <w:tblLayout w:type="fixed"/>
          <w:tblCellMar>
            <w:top w:w="0" w:type="dxa"/>
            <w:left w:w="0" w:type="dxa"/>
            <w:bottom w:w="0" w:type="dxa"/>
            <w:right w:w="0" w:type="dxa"/>
          </w:tblCellMar>
        </w:tblPrEx>
        <w:trPr>
          <w:trHeight w:val="312" w:hRule="atLeast"/>
        </w:trPr>
        <w:tc>
          <w:tcPr>
            <w:tcW w:w="46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据</w:t>
            </w: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核心</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危险有害因素的辨识和控制</w:t>
            </w:r>
          </w:p>
        </w:tc>
      </w:tr>
      <w:tr>
        <w:tblPrEx>
          <w:tblLayout w:type="fixed"/>
          <w:tblCellMar>
            <w:top w:w="0" w:type="dxa"/>
            <w:left w:w="0" w:type="dxa"/>
            <w:bottom w:w="0" w:type="dxa"/>
            <w:right w:w="0" w:type="dxa"/>
          </w:tblCellMar>
        </w:tblPrEx>
        <w:trPr>
          <w:trHeight w:val="316"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建设的原则</w:t>
            </w: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安全第一，预防为主，综合治理</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考点三</w:t>
      </w:r>
      <w:r>
        <w:rPr>
          <w:rFonts w:hint="eastAsia" w:ascii="微软雅黑" w:hAnsi="微软雅黑" w:eastAsia="微软雅黑" w:cs="微软雅黑"/>
          <w:color w:val="000000"/>
          <w:sz w:val="18"/>
          <w:szCs w:val="18"/>
        </w:rPr>
        <w:t>安全生产规章制度体系的建立(表2—3)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2—3安全生产规章制度体系的建立</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67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综合安全管理制度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安全生产管理目标、指标和总体原则。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安全生产责任制。</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核心是清晰安全管理的责任界面；是生产经营单位安全生产规章制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度建立的基础</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安全管理定期例行工作制度。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承包与发包工程安全管理制度。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安全设施和费用管理制度。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重大危险源管理制度。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(7)</w:t>
            </w:r>
            <w:r>
              <w:rPr>
                <w:rFonts w:hint="eastAsia" w:ascii="微软雅黑" w:hAnsi="微软雅黑" w:eastAsia="微软雅黑" w:cs="微软雅黑"/>
                <w:color w:val="000000"/>
                <w:kern w:val="0"/>
                <w:sz w:val="18"/>
                <w:szCs w:val="18"/>
              </w:rPr>
              <w:t>危险物品使用管理制度。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(8)</w:t>
            </w:r>
            <w:r>
              <w:rPr>
                <w:rFonts w:hint="eastAsia" w:ascii="微软雅黑" w:hAnsi="微软雅黑" w:eastAsia="微软雅黑" w:cs="微软雅黑"/>
                <w:color w:val="000000"/>
                <w:kern w:val="0"/>
                <w:sz w:val="18"/>
                <w:szCs w:val="18"/>
              </w:rPr>
              <w:t>消防安全管理制度。</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定期防火检查、防火演练等</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(9)</w:t>
            </w:r>
            <w:r>
              <w:rPr>
                <w:rFonts w:hint="eastAsia" w:ascii="微软雅黑" w:hAnsi="微软雅黑" w:eastAsia="微软雅黑" w:cs="微软雅黑"/>
                <w:color w:val="000000"/>
                <w:kern w:val="0"/>
                <w:sz w:val="18"/>
                <w:szCs w:val="18"/>
              </w:rPr>
              <w:t>隐患排查和治理制度。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交通安全管理制度。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(11)</w:t>
            </w:r>
            <w:r>
              <w:rPr>
                <w:rFonts w:hint="eastAsia" w:ascii="微软雅黑" w:hAnsi="微软雅黑" w:eastAsia="微软雅黑" w:cs="微软雅黑"/>
                <w:color w:val="000000"/>
                <w:kern w:val="0"/>
                <w:sz w:val="18"/>
                <w:szCs w:val="18"/>
              </w:rPr>
              <w:t>防灾减灾管理制度。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(12)</w:t>
            </w:r>
            <w:r>
              <w:rPr>
                <w:rFonts w:hint="eastAsia" w:ascii="微软雅黑" w:hAnsi="微软雅黑" w:eastAsia="微软雅黑" w:cs="微软雅黑"/>
                <w:color w:val="000000"/>
                <w:kern w:val="0"/>
                <w:sz w:val="18"/>
                <w:szCs w:val="18"/>
              </w:rPr>
              <w:t>事故调查报告处理制度。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(13)</w:t>
            </w:r>
            <w:r>
              <w:rPr>
                <w:rFonts w:hint="eastAsia" w:ascii="微软雅黑" w:hAnsi="微软雅黑" w:eastAsia="微软雅黑" w:cs="微软雅黑"/>
                <w:color w:val="000000"/>
                <w:kern w:val="0"/>
                <w:sz w:val="18"/>
                <w:szCs w:val="18"/>
              </w:rPr>
              <w:t>应急管理制度。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(14)</w:t>
            </w:r>
            <w:r>
              <w:rPr>
                <w:rFonts w:hint="eastAsia" w:ascii="微软雅黑" w:hAnsi="微软雅黑" w:eastAsia="微软雅黑" w:cs="微软雅黑"/>
                <w:color w:val="000000"/>
                <w:kern w:val="0"/>
                <w:sz w:val="18"/>
                <w:szCs w:val="18"/>
              </w:rPr>
              <w:t>安全奖惩制度</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584"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人员安全管理制度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安全教育培训制度。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安全工器具的使用管理制度。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特种作业及特殊危险作业管理制度。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岗位安全规范。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职业健康检查制度。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现场作业安全管理制度</w:t>
            </w:r>
          </w:p>
        </w:tc>
      </w:tr>
      <w:tr>
        <w:tblPrEx>
          <w:tblLayout w:type="fixed"/>
          <w:tblCellMar>
            <w:top w:w="0" w:type="dxa"/>
            <w:left w:w="0" w:type="dxa"/>
            <w:bottom w:w="0" w:type="dxa"/>
            <w:right w:w="0" w:type="dxa"/>
          </w:tblCellMar>
        </w:tblPrEx>
        <w:trPr>
          <w:trHeight w:val="1276"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设备设施安全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管理制度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“三同时”制度。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定期巡视检查制度。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定期维护检修制度。</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定期检测、检验制度。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安全操作规程</w:t>
            </w:r>
          </w:p>
        </w:tc>
      </w:tr>
      <w:tr>
        <w:tblPrEx>
          <w:tblLayout w:type="fixed"/>
          <w:tblCellMar>
            <w:top w:w="0" w:type="dxa"/>
            <w:left w:w="0" w:type="dxa"/>
            <w:bottom w:w="0" w:type="dxa"/>
            <w:right w:w="0" w:type="dxa"/>
          </w:tblCellMar>
        </w:tblPrEx>
        <w:trPr>
          <w:trHeight w:val="796"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环境安全管理制度</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安全标志管理制度。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作业环境管理制度。</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职业卫生管理制度</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考点四</w:t>
      </w:r>
      <w:r>
        <w:rPr>
          <w:rFonts w:hint="eastAsia" w:ascii="微软雅黑" w:hAnsi="微软雅黑" w:eastAsia="微软雅黑" w:cs="微软雅黑"/>
          <w:color w:val="000000"/>
          <w:sz w:val="18"/>
          <w:szCs w:val="18"/>
        </w:rPr>
        <w:t>安全生产规章制度的管理(表2-4)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2—4安全生产规章制度的管理</w:t>
      </w:r>
    </w:p>
    <w:tbl>
      <w:tblPr>
        <w:tblStyle w:val="4"/>
        <w:tblW w:w="8409" w:type="dxa"/>
        <w:tblInd w:w="15" w:type="dxa"/>
        <w:tblLayout w:type="fixed"/>
        <w:tblCellMar>
          <w:top w:w="0" w:type="dxa"/>
          <w:left w:w="0" w:type="dxa"/>
          <w:bottom w:w="0" w:type="dxa"/>
          <w:right w:w="0" w:type="dxa"/>
        </w:tblCellMar>
      </w:tblPr>
      <w:tblGrid>
        <w:gridCol w:w="475"/>
        <w:gridCol w:w="1113"/>
        <w:gridCol w:w="6821"/>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部门</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由安全生产管理部门或相关职能部门负责</w:t>
            </w:r>
          </w:p>
        </w:tc>
      </w:tr>
      <w:tr>
        <w:tblPrEx>
          <w:tblLayout w:type="fixed"/>
          <w:tblCellMar>
            <w:top w:w="0" w:type="dxa"/>
            <w:left w:w="0" w:type="dxa"/>
            <w:bottom w:w="0" w:type="dxa"/>
            <w:right w:w="0" w:type="dxa"/>
          </w:tblCellMar>
        </w:tblPrEx>
        <w:trPr>
          <w:trHeight w:val="316" w:hRule="atLeast"/>
        </w:trPr>
        <w:tc>
          <w:tcPr>
            <w:tcW w:w="47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起草</w:t>
            </w: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特点</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目的明确、条理清楚、结构严谨、用词准确、文字简明、标点符号正确</w:t>
            </w:r>
          </w:p>
        </w:tc>
      </w:tr>
      <w:tr>
        <w:tblPrEx>
          <w:tblLayout w:type="fixed"/>
          <w:tblCellMar>
            <w:top w:w="0" w:type="dxa"/>
            <w:left w:w="0" w:type="dxa"/>
            <w:bottom w:w="0" w:type="dxa"/>
            <w:right w:w="0" w:type="dxa"/>
          </w:tblCellMar>
        </w:tblPrEx>
        <w:trPr>
          <w:trHeight w:val="321"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会签或公开征求意见</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当意见不能取得一致时，应由分管领导组织讨论，统一认识，达成一致</w:t>
            </w:r>
          </w:p>
        </w:tc>
      </w:tr>
      <w:tr>
        <w:tblPrEx>
          <w:tblLayout w:type="fixed"/>
          <w:tblCellMar>
            <w:top w:w="0" w:type="dxa"/>
            <w:left w:w="0" w:type="dxa"/>
            <w:bottom w:w="0" w:type="dxa"/>
            <w:right w:w="0" w:type="dxa"/>
          </w:tblCellMar>
        </w:tblPrEx>
        <w:trPr>
          <w:trHeight w:val="316"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审核</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生产经营单位负责法律事务的部门和专业技术性较强的规章制度应邀请相关专家进行审核</w:t>
            </w:r>
          </w:p>
        </w:tc>
      </w:tr>
      <w:tr>
        <w:tblPrEx>
          <w:tblLayout w:type="fixed"/>
          <w:tblCellMar>
            <w:top w:w="0" w:type="dxa"/>
            <w:left w:w="0" w:type="dxa"/>
            <w:bottom w:w="0" w:type="dxa"/>
            <w:right w:w="0" w:type="dxa"/>
          </w:tblCellMar>
        </w:tblPrEx>
        <w:trPr>
          <w:trHeight w:val="643"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签发</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技术性较强的安全生产规章制度，一般由生产经营单位主管生产的领导或总工程师签发；全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局性的综合管理制度应由生产经营单位的主要负责人签发</w:t>
            </w:r>
          </w:p>
        </w:tc>
      </w:tr>
      <w:tr>
        <w:tblPrEx>
          <w:tblLayout w:type="fixed"/>
          <w:tblCellMar>
            <w:top w:w="0" w:type="dxa"/>
            <w:left w:w="0" w:type="dxa"/>
            <w:bottom w:w="0" w:type="dxa"/>
            <w:right w:w="0" w:type="dxa"/>
          </w:tblCellMar>
        </w:tblPrEx>
        <w:trPr>
          <w:trHeight w:val="316"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发布</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生产经营单位的规章制度，应采用固定的方式进行发布，如红头文件形式、内部办公网络等</w:t>
            </w:r>
          </w:p>
        </w:tc>
      </w:tr>
      <w:tr>
        <w:tblPrEx>
          <w:tblLayout w:type="fixed"/>
          <w:tblCellMar>
            <w:top w:w="0" w:type="dxa"/>
            <w:left w:w="0" w:type="dxa"/>
            <w:bottom w:w="0" w:type="dxa"/>
            <w:right w:w="0" w:type="dxa"/>
          </w:tblCellMar>
        </w:tblPrEx>
        <w:trPr>
          <w:trHeight w:val="321"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新颁布的规章制度、修订的安全生产规章制度，应组织进行培训、考试</w:t>
            </w:r>
          </w:p>
        </w:tc>
      </w:tr>
      <w:tr>
        <w:tblPrEx>
          <w:tblLayout w:type="fixed"/>
          <w:tblCellMar>
            <w:top w:w="0" w:type="dxa"/>
            <w:left w:w="0" w:type="dxa"/>
            <w:bottom w:w="0" w:type="dxa"/>
            <w:right w:w="0" w:type="dxa"/>
          </w:tblCellMar>
        </w:tblPrEx>
        <w:trPr>
          <w:trHeight w:val="316"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持续改进</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对安全操作规程类规章制度，除每年进行审查和修订外，每</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年应进行一次全面修订</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考点五</w:t>
      </w:r>
      <w:r>
        <w:rPr>
          <w:rFonts w:hint="eastAsia" w:ascii="微软雅黑" w:hAnsi="微软雅黑" w:eastAsia="微软雅黑" w:cs="微软雅黑"/>
          <w:color w:val="000000"/>
          <w:sz w:val="18"/>
          <w:szCs w:val="18"/>
        </w:rPr>
        <w:t>对安全生产教育培训的基本要求(表2—5)</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2—5对安全生产教育培训的基本要求</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2400"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对安全生产教育</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培训的基本要求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《安全生产法》规定：</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生产经营单位应当对从业人员进行安全生产教育和培训，保证从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业人员具备必要的安全生产知识，熟悉有关的安全生产规章制度和安全操作规程，掌握本岗位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的安全操作技能，了解事故应急处理措施，知悉自身在安全生产方面的权利和义务。未经安全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生产教育和培训合格的从业人员，不得上岗作业。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生产经营单位使用被派遣劳动者的，应当将被派遣劳动者纳入本单位从业人员统一管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理，对被派遣劳动者进行岗位安全操作规程和安全操作技能的教育和培训。劳务派遣单位应当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对被派遣劳动者进行必要的安全生产教育和培训。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生产经营单位接收中等职业学校、高等学校学生实习的，应当对实习学生进行相应的安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全生产教育和培训，提供必要的劳动防护用品。学校应当协助生产经营单位对实习学生进行安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全生产教育和培训。</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0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对安全生产教育</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培训的基本要求</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生产经营单位应当建立安全生产教育和培训档案，如实记录安全生产教育和培训的时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间、内容、参加人员以及考核结果等情况。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生产经营单位采用新工艺、新技术、新材料或者使用新设备，必须了解、掌握其安全技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术特性，采取有效的安全防护措施，并对从业人员进行专门的安全生产教育和培训</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考点六</w:t>
      </w:r>
      <w:r>
        <w:rPr>
          <w:rFonts w:hint="eastAsia" w:ascii="微软雅黑" w:hAnsi="微软雅黑" w:eastAsia="微软雅黑" w:cs="微软雅黑"/>
          <w:color w:val="000000"/>
          <w:sz w:val="18"/>
          <w:szCs w:val="18"/>
        </w:rPr>
        <w:t>安全生产教育培训的组织(表2—6)</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2—6安全生产教育培训的组织</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80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省级安全生产</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监督管理部门</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组织、指导和监督省属生产经营单位及所辖区域内中央管理的工矿商贸生产经营单位的分公</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司、子公司主要负责人和安全生产管理人员的培训工作；组织、指导和监督特种作业人员的培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训工作</w:t>
            </w:r>
          </w:p>
        </w:tc>
      </w:tr>
      <w:tr>
        <w:tblPrEx>
          <w:tblLayout w:type="fixed"/>
          <w:tblCellMar>
            <w:top w:w="0" w:type="dxa"/>
            <w:left w:w="0" w:type="dxa"/>
            <w:bottom w:w="0" w:type="dxa"/>
            <w:right w:w="0" w:type="dxa"/>
          </w:tblCellMar>
        </w:tblPrEx>
        <w:trPr>
          <w:trHeight w:val="561"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省级煤矿安全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监察机构</w:t>
            </w: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组织、指导和监督所辖区域内煤矿企业的主要负责人、安全生产管理人员和特种作业人员</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含煤矿矿井使用的特种设备作业人员</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的安全培训工作</w:t>
            </w:r>
          </w:p>
        </w:tc>
      </w:tr>
      <w:tr>
        <w:tblPrEx>
          <w:tblLayout w:type="fixed"/>
          <w:tblCellMar>
            <w:top w:w="0" w:type="dxa"/>
            <w:left w:w="0" w:type="dxa"/>
            <w:bottom w:w="0" w:type="dxa"/>
            <w:right w:w="0" w:type="dxa"/>
          </w:tblCellMar>
        </w:tblPrEx>
        <w:trPr>
          <w:trHeight w:val="552"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生产经营单位的从业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人员的安全培训工作</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由生产经营单位组织实施</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除主要负责人、安全生产管理人员、特种作业人员以外</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p>
        </w:tc>
      </w:tr>
    </w:tbl>
    <w:p>
      <w:pPr>
        <w:autoSpaceDE w:val="0"/>
        <w:autoSpaceDN w:val="0"/>
        <w:adjustRightInd w:val="0"/>
        <w:jc w:val="left"/>
        <w:rPr>
          <w:rFonts w:hint="eastAsia" w:ascii="微软雅黑" w:hAnsi="微软雅黑" w:eastAsia="微软雅黑" w:cs="微软雅黑"/>
          <w:color w:val="000000"/>
          <w:kern w:val="0"/>
          <w:sz w:val="18"/>
          <w:szCs w:val="18"/>
        </w:rPr>
      </w:pP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考点七</w:t>
      </w:r>
      <w:r>
        <w:rPr>
          <w:rFonts w:hint="eastAsia" w:ascii="微软雅黑" w:hAnsi="微软雅黑" w:eastAsia="微软雅黑" w:cs="微软雅黑"/>
          <w:color w:val="000000"/>
          <w:sz w:val="18"/>
          <w:szCs w:val="18"/>
        </w:rPr>
        <w:t>对主要负责人的培训内容和时间(表2—7)</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2—7对主要负责人的培训内容和时间</w:t>
      </w:r>
    </w:p>
    <w:tbl>
      <w:tblPr>
        <w:tblStyle w:val="4"/>
        <w:tblW w:w="8409" w:type="dxa"/>
        <w:tblInd w:w="15" w:type="dxa"/>
        <w:tblLayout w:type="fixed"/>
        <w:tblCellMar>
          <w:top w:w="0" w:type="dxa"/>
          <w:left w:w="0" w:type="dxa"/>
          <w:bottom w:w="0" w:type="dxa"/>
          <w:right w:w="0" w:type="dxa"/>
        </w:tblCellMar>
      </w:tblPr>
      <w:tblGrid>
        <w:gridCol w:w="1579"/>
        <w:gridCol w:w="6830"/>
      </w:tblGrid>
      <w:tr>
        <w:tblPrEx>
          <w:tblLayout w:type="fixed"/>
          <w:tblCellMar>
            <w:top w:w="0" w:type="dxa"/>
            <w:left w:w="0" w:type="dxa"/>
            <w:bottom w:w="0" w:type="dxa"/>
            <w:right w:w="0" w:type="dxa"/>
          </w:tblCellMar>
        </w:tblPrEx>
        <w:trPr>
          <w:trHeight w:val="297"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23"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初次培训的主要内容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安全生产管理基本知识、安全生产技术、安全生产专业知识。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职业危害及其预防措施。</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国内外先进的安全生产管理经验。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典型事故和应急救援案例分析等</w:t>
            </w:r>
          </w:p>
        </w:tc>
      </w:tr>
      <w:tr>
        <w:tblPrEx>
          <w:tblLayout w:type="fixed"/>
          <w:tblCellMar>
            <w:top w:w="0" w:type="dxa"/>
            <w:left w:w="0" w:type="dxa"/>
            <w:bottom w:w="0" w:type="dxa"/>
            <w:right w:w="0" w:type="dxa"/>
          </w:tblCellMar>
        </w:tblPrEx>
        <w:trPr>
          <w:trHeight w:val="1123"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再培训的主要内容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新知识、新技术和新颁布的政策、法规。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有关安全生产的法律、法规、规章、规程、标准和政策。</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安全生产的新技术、新知识。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安全生产管理经验等</w:t>
            </w:r>
          </w:p>
        </w:tc>
      </w:tr>
      <w:tr>
        <w:tblPrEx>
          <w:tblLayout w:type="fixed"/>
          <w:tblCellMar>
            <w:top w:w="0" w:type="dxa"/>
            <w:left w:w="0" w:type="dxa"/>
            <w:bottom w:w="0" w:type="dxa"/>
            <w:right w:w="0" w:type="dxa"/>
          </w:tblCellMar>
        </w:tblPrEx>
        <w:trPr>
          <w:trHeight w:val="556"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培训时间</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危险物品的生产、经营、储存单位以及矿山、烟花爆竹、建筑施工单位主要负责人安全资格</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培训时间不得少于</w:t>
            </w:r>
            <w:r>
              <w:rPr>
                <w:rFonts w:hint="eastAsia" w:ascii="微软雅黑" w:hAnsi="微软雅黑" w:eastAsia="微软雅黑" w:cs="微软雅黑"/>
                <w:color w:val="000000"/>
                <w:kern w:val="0"/>
                <w:sz w:val="18"/>
                <w:szCs w:val="18"/>
              </w:rPr>
              <w:t>48</w:t>
            </w:r>
            <w:r>
              <w:rPr>
                <w:rFonts w:hint="eastAsia" w:ascii="微软雅黑" w:hAnsi="微软雅黑" w:eastAsia="微软雅黑" w:cs="微软雅黑"/>
                <w:color w:val="000000"/>
                <w:kern w:val="0"/>
                <w:sz w:val="18"/>
                <w:szCs w:val="18"/>
              </w:rPr>
              <w:t>学时；每年再培训时间不得少于</w:t>
            </w:r>
            <w:r>
              <w:rPr>
                <w:rFonts w:hint="eastAsia" w:ascii="微软雅黑" w:hAnsi="微软雅黑" w:eastAsia="微软雅黑" w:cs="微软雅黑"/>
                <w:color w:val="000000"/>
                <w:kern w:val="0"/>
                <w:sz w:val="18"/>
                <w:szCs w:val="18"/>
              </w:rPr>
              <w:t>16</w:t>
            </w:r>
            <w:r>
              <w:rPr>
                <w:rFonts w:hint="eastAsia" w:ascii="微软雅黑" w:hAnsi="微软雅黑" w:eastAsia="微软雅黑" w:cs="微软雅黑"/>
                <w:color w:val="000000"/>
                <w:kern w:val="0"/>
                <w:sz w:val="18"/>
                <w:szCs w:val="18"/>
              </w:rPr>
              <w:t>学时</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考点八</w:t>
      </w:r>
      <w:r>
        <w:rPr>
          <w:rFonts w:hint="eastAsia" w:ascii="微软雅黑" w:hAnsi="微软雅黑" w:eastAsia="微软雅黑" w:cs="微软雅黑"/>
          <w:color w:val="000000"/>
          <w:sz w:val="18"/>
          <w:szCs w:val="18"/>
        </w:rPr>
        <w:t>对安全生产管理人员培训的主要内容和时间(表2—8)</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2—8对安全生产管理人员培训的主要内容和时间</w:t>
      </w:r>
    </w:p>
    <w:tbl>
      <w:tblPr>
        <w:tblStyle w:val="4"/>
        <w:tblW w:w="8409" w:type="dxa"/>
        <w:tblInd w:w="15" w:type="dxa"/>
        <w:tblLayout w:type="fixed"/>
        <w:tblCellMar>
          <w:top w:w="0" w:type="dxa"/>
          <w:left w:w="0" w:type="dxa"/>
          <w:bottom w:w="0" w:type="dxa"/>
          <w:right w:w="0" w:type="dxa"/>
        </w:tblCellMar>
      </w:tblPr>
      <w:tblGrid>
        <w:gridCol w:w="1579"/>
        <w:gridCol w:w="6830"/>
      </w:tblGrid>
      <w:tr>
        <w:tblPrEx>
          <w:tblLayout w:type="fixed"/>
          <w:tblCellMar>
            <w:top w:w="0" w:type="dxa"/>
            <w:left w:w="0" w:type="dxa"/>
            <w:bottom w:w="0" w:type="dxa"/>
            <w:right w:w="0" w:type="dxa"/>
          </w:tblCellMar>
        </w:tblPrEx>
        <w:trPr>
          <w:trHeight w:val="302"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598"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初次培训的主要内容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国家安全生产方针、政策和有关安全生产的法律、法规、规章及标准。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安全生产管理、安全生产技术、职业卫生等知识。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伤亡事故统计、报告及职业危害的调查处理方法。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应急管理、应急预案编制以及应急处置的内容和要求。</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国内外先进的安全生产管理经验。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典型事故和应急救援案例分析等</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08"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再培训的主要内容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新知识、新技术和新颁布的政策、法规。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有关安全生产的法律、法规、规章、规程、标准和政策。</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安全生产的新技术、新知识。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安全生产管理经验，典型事故案例</w:t>
            </w:r>
          </w:p>
        </w:tc>
      </w:tr>
      <w:tr>
        <w:tblPrEx>
          <w:tblLayout w:type="fixed"/>
          <w:tblCellMar>
            <w:top w:w="0" w:type="dxa"/>
            <w:left w:w="0" w:type="dxa"/>
            <w:bottom w:w="0" w:type="dxa"/>
            <w:right w:w="0" w:type="dxa"/>
          </w:tblCellMar>
        </w:tblPrEx>
        <w:trPr>
          <w:trHeight w:val="63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培训时间</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危险物品的生产、经营、储存单位以及矿山、烟花爆竹、建筑施工单位安全生产管理人员安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全资格培训时间不得少于</w:t>
            </w:r>
            <w:r>
              <w:rPr>
                <w:rFonts w:hint="eastAsia" w:ascii="微软雅黑" w:hAnsi="微软雅黑" w:eastAsia="微软雅黑" w:cs="微软雅黑"/>
                <w:color w:val="000000"/>
                <w:kern w:val="0"/>
                <w:sz w:val="18"/>
                <w:szCs w:val="18"/>
              </w:rPr>
              <w:t>48</w:t>
            </w:r>
            <w:r>
              <w:rPr>
                <w:rFonts w:hint="eastAsia" w:ascii="微软雅黑" w:hAnsi="微软雅黑" w:eastAsia="微软雅黑" w:cs="微软雅黑"/>
                <w:color w:val="000000"/>
                <w:kern w:val="0"/>
                <w:sz w:val="18"/>
                <w:szCs w:val="18"/>
              </w:rPr>
              <w:t>学时；每年再培训时间不得少于</w:t>
            </w:r>
            <w:r>
              <w:rPr>
                <w:rFonts w:hint="eastAsia" w:ascii="微软雅黑" w:hAnsi="微软雅黑" w:eastAsia="微软雅黑" w:cs="微软雅黑"/>
                <w:color w:val="000000"/>
                <w:kern w:val="0"/>
                <w:sz w:val="18"/>
                <w:szCs w:val="18"/>
              </w:rPr>
              <w:t>16</w:t>
            </w:r>
            <w:r>
              <w:rPr>
                <w:rFonts w:hint="eastAsia" w:ascii="微软雅黑" w:hAnsi="微软雅黑" w:eastAsia="微软雅黑" w:cs="微软雅黑"/>
                <w:color w:val="000000"/>
                <w:kern w:val="0"/>
                <w:sz w:val="18"/>
                <w:szCs w:val="18"/>
              </w:rPr>
              <w:t>学时</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考点九</w:t>
      </w:r>
      <w:r>
        <w:rPr>
          <w:rFonts w:hint="eastAsia" w:ascii="微软雅黑" w:hAnsi="微软雅黑" w:eastAsia="微软雅黑" w:cs="微软雅黑"/>
          <w:color w:val="000000"/>
          <w:sz w:val="18"/>
          <w:szCs w:val="18"/>
        </w:rPr>
        <w:t>特种作业人员培训(表2—9)</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2—9特种作业人员培训</w:t>
      </w:r>
    </w:p>
    <w:tbl>
      <w:tblPr>
        <w:tblStyle w:val="4"/>
        <w:tblW w:w="8419" w:type="dxa"/>
        <w:tblInd w:w="15" w:type="dxa"/>
        <w:tblLayout w:type="fixed"/>
        <w:tblCellMar>
          <w:top w:w="0" w:type="dxa"/>
          <w:left w:w="0" w:type="dxa"/>
          <w:bottom w:w="0" w:type="dxa"/>
          <w:right w:w="0" w:type="dxa"/>
        </w:tblCellMar>
      </w:tblPr>
      <w:tblGrid>
        <w:gridCol w:w="1579"/>
        <w:gridCol w:w="6840"/>
      </w:tblGrid>
      <w:tr>
        <w:tblPrEx>
          <w:tblLayout w:type="fixed"/>
          <w:tblCellMar>
            <w:top w:w="0" w:type="dxa"/>
            <w:left w:w="0" w:type="dxa"/>
            <w:bottom w:w="0" w:type="dxa"/>
            <w:right w:w="0" w:type="dxa"/>
          </w:tblCellMar>
        </w:tblPrEx>
        <w:trPr>
          <w:trHeight w:val="307" w:hRule="atLeast"/>
        </w:trPr>
        <w:tc>
          <w:tcPr>
            <w:tcW w:w="1579"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4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960"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特种作业的范围</w:t>
            </w: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电工作业、焊接与热切割作业、高处作业、制冷与空调作业、煤矿安全作业、金属非金属矿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山安全作业、石油天然气安全作业、冶金</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有色</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生产安全作业、危险化学品安全作业、烟花</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爆竹安全作业、安全监管总局认定的其他作业</w:t>
            </w:r>
          </w:p>
        </w:tc>
      </w:tr>
      <w:tr>
        <w:tblPrEx>
          <w:tblLayout w:type="fixed"/>
          <w:tblCellMar>
            <w:top w:w="0" w:type="dxa"/>
            <w:left w:w="0" w:type="dxa"/>
            <w:bottom w:w="0" w:type="dxa"/>
            <w:right w:w="0" w:type="dxa"/>
          </w:tblCellMar>
        </w:tblPrEx>
        <w:trPr>
          <w:trHeight w:val="1444" w:hRule="atLeast"/>
        </w:trPr>
        <w:tc>
          <w:tcPr>
            <w:tcW w:w="1579"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特种作业人员的要求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特种作业人员必须经专门的安全技术培训并考核合格，取得《中华人民共和国特种作业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操作证》后，方可上岗作业。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跨省、自治区、直辖市从业的特种作业人员，可以在户籍所在地或者从业所在地参加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特种作业人员应当接受与其所从事的特种作业相应的安全技术理论培训和实际操作培训</w:t>
            </w:r>
          </w:p>
        </w:tc>
      </w:tr>
      <w:tr>
        <w:tblPrEx>
          <w:tblLayout w:type="fixed"/>
          <w:tblCellMar>
            <w:top w:w="0" w:type="dxa"/>
            <w:left w:w="0" w:type="dxa"/>
            <w:bottom w:w="0" w:type="dxa"/>
            <w:right w:w="0" w:type="dxa"/>
          </w:tblCellMar>
        </w:tblPrEx>
        <w:trPr>
          <w:trHeight w:val="1272" w:hRule="atLeast"/>
        </w:trPr>
        <w:tc>
          <w:tcPr>
            <w:tcW w:w="1579"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特种作业操作证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4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特种作业操作证有效期为</w:t>
            </w: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年，在全国范围内有效。特种作业操作证每</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年复审</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特种作业人员在特种作业操作证有效期内，连续从事本工种</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年以上，严格遵守有关安全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生产法律法规的，经原考核发证机关或者从业所在地考核发证机关同意，特种作业操作证的复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审时间可以延长至每</w:t>
            </w: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年</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次</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w:t>
      </w:r>
      <w:r>
        <w:rPr>
          <w:rFonts w:hint="eastAsia" w:ascii="微软雅黑" w:hAnsi="微软雅黑" w:eastAsia="微软雅黑" w:cs="微软雅黑"/>
          <w:color w:val="000000"/>
          <w:sz w:val="18"/>
          <w:szCs w:val="18"/>
        </w:rPr>
        <w:t>从业人员的教育培训(表2—10)</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2一10从业人员的教育培训</w:t>
      </w:r>
    </w:p>
    <w:tbl>
      <w:tblPr>
        <w:tblStyle w:val="4"/>
        <w:tblW w:w="8419" w:type="dxa"/>
        <w:tblInd w:w="15" w:type="dxa"/>
        <w:tblLayout w:type="fixed"/>
        <w:tblCellMar>
          <w:top w:w="0" w:type="dxa"/>
          <w:left w:w="0" w:type="dxa"/>
          <w:bottom w:w="0" w:type="dxa"/>
          <w:right w:w="0" w:type="dxa"/>
        </w:tblCellMar>
      </w:tblPr>
      <w:tblGrid>
        <w:gridCol w:w="465"/>
        <w:gridCol w:w="1123"/>
        <w:gridCol w:w="6831"/>
      </w:tblGrid>
      <w:tr>
        <w:tblPrEx>
          <w:tblLayout w:type="fixed"/>
          <w:tblCellMar>
            <w:top w:w="0" w:type="dxa"/>
            <w:left w:w="0" w:type="dxa"/>
            <w:bottom w:w="0" w:type="dxa"/>
            <w:right w:w="0" w:type="dxa"/>
          </w:tblCellMar>
        </w:tblPrEx>
        <w:trPr>
          <w:trHeight w:val="31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321"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厂、车间、班组的安全教育</w:t>
            </w:r>
          </w:p>
        </w:tc>
      </w:tr>
      <w:tr>
        <w:tblPrEx>
          <w:tblLayout w:type="fixed"/>
          <w:tblCellMar>
            <w:top w:w="0" w:type="dxa"/>
            <w:left w:w="0" w:type="dxa"/>
            <w:bottom w:w="0" w:type="dxa"/>
            <w:right w:w="0" w:type="dxa"/>
          </w:tblCellMar>
        </w:tblPrEx>
        <w:trPr>
          <w:trHeight w:val="1272" w:hRule="atLeast"/>
        </w:trPr>
        <w:tc>
          <w:tcPr>
            <w:tcW w:w="46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三级</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培训内容</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岗位工作及作业环境范围内的安全风险辨识、评价和控制措施；典型事故案例。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岗位安全职责、操作技能及强制性标准。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自救互救、急救方法、疏散和现场紧急情况的处理。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安全设施、个人防护用品的使用和维护</w:t>
            </w:r>
          </w:p>
        </w:tc>
      </w:tr>
      <w:tr>
        <w:tblPrEx>
          <w:tblLayout w:type="fixed"/>
          <w:tblCellMar>
            <w:top w:w="0" w:type="dxa"/>
            <w:left w:w="0" w:type="dxa"/>
            <w:bottom w:w="0" w:type="dxa"/>
            <w:right w:w="0" w:type="dxa"/>
          </w:tblCellMar>
        </w:tblPrEx>
        <w:trPr>
          <w:trHeight w:val="643" w:hRule="atLeast"/>
        </w:trPr>
        <w:tc>
          <w:tcPr>
            <w:tcW w:w="46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教育</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w:t>
            </w: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班组安全教</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育培训的重点</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岗位安全操作规程、岗位之间工作衔接配合、作业过程的安全风险分析方法和控制对策、事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故案例等</w:t>
            </w:r>
          </w:p>
        </w:tc>
      </w:tr>
      <w:tr>
        <w:tblPrEx>
          <w:tblLayout w:type="fixed"/>
          <w:tblCellMar>
            <w:top w:w="0" w:type="dxa"/>
            <w:left w:w="0" w:type="dxa"/>
            <w:bottom w:w="0" w:type="dxa"/>
            <w:right w:w="0" w:type="dxa"/>
          </w:tblCellMar>
        </w:tblPrEx>
        <w:trPr>
          <w:trHeight w:val="960" w:hRule="atLeast"/>
        </w:trPr>
        <w:tc>
          <w:tcPr>
            <w:tcW w:w="465"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培训时间</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新从业人员安全生产教育培训时间不得少于</w:t>
            </w:r>
            <w:r>
              <w:rPr>
                <w:rFonts w:hint="eastAsia" w:ascii="微软雅黑" w:hAnsi="微软雅黑" w:eastAsia="微软雅黑" w:cs="微软雅黑"/>
                <w:color w:val="000000"/>
                <w:kern w:val="0"/>
                <w:sz w:val="18"/>
                <w:szCs w:val="18"/>
              </w:rPr>
              <w:t>24</w:t>
            </w:r>
            <w:r>
              <w:rPr>
                <w:rFonts w:hint="eastAsia" w:ascii="微软雅黑" w:hAnsi="微软雅黑" w:eastAsia="微软雅黑" w:cs="微软雅黑"/>
                <w:color w:val="000000"/>
                <w:kern w:val="0"/>
                <w:sz w:val="18"/>
                <w:szCs w:val="18"/>
              </w:rPr>
              <w:t>学时。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煤矿、非煤矿山、危险化学品、烟花爆竹等生产经营单位新上岗的从业人员安全培训时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间不得少于</w:t>
            </w:r>
            <w:r>
              <w:rPr>
                <w:rFonts w:hint="eastAsia" w:ascii="微软雅黑" w:hAnsi="微软雅黑" w:eastAsia="微软雅黑" w:cs="微软雅黑"/>
                <w:color w:val="000000"/>
                <w:kern w:val="0"/>
                <w:sz w:val="18"/>
                <w:szCs w:val="18"/>
              </w:rPr>
              <w:t>72</w:t>
            </w:r>
            <w:r>
              <w:rPr>
                <w:rFonts w:hint="eastAsia" w:ascii="微软雅黑" w:hAnsi="微软雅黑" w:eastAsia="微软雅黑" w:cs="微软雅黑"/>
                <w:color w:val="000000"/>
                <w:kern w:val="0"/>
                <w:sz w:val="18"/>
                <w:szCs w:val="18"/>
              </w:rPr>
              <w:t>学时</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每年接受再培训的时间不得少于</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学时</w:t>
            </w:r>
            <w:r>
              <w:rPr>
                <w:rFonts w:hint="eastAsia" w:ascii="微软雅黑" w:hAnsi="微软雅黑" w:eastAsia="微软雅黑" w:cs="微软雅黑"/>
                <w:color w:val="000000"/>
                <w:kern w:val="0"/>
                <w:sz w:val="18"/>
                <w:szCs w:val="18"/>
              </w:rPr>
              <w:t>)</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19" w:type="dxa"/>
        <w:tblInd w:w="15" w:type="dxa"/>
        <w:tblLayout w:type="fixed"/>
        <w:tblCellMar>
          <w:top w:w="0" w:type="dxa"/>
          <w:left w:w="0" w:type="dxa"/>
          <w:bottom w:w="0" w:type="dxa"/>
          <w:right w:w="0" w:type="dxa"/>
        </w:tblCellMar>
      </w:tblPr>
      <w:tblGrid>
        <w:gridCol w:w="465"/>
        <w:gridCol w:w="1123"/>
        <w:gridCol w:w="683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792"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调整工作岗位或</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离岗后重新上岗</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安全教育培训</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从业人员调整工作岗位后，由于岗位工作特点、要求不同，应重新进行新岗位安全教育培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训，并经考试合格后方可上岗作业。</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调整工作岗位和离岗后重新上岗的安全教育培训工作，原则上应由车间级组织</w:t>
            </w:r>
          </w:p>
        </w:tc>
      </w:tr>
      <w:tr>
        <w:tblPrEx>
          <w:tblLayout w:type="fixed"/>
          <w:tblCellMar>
            <w:top w:w="0" w:type="dxa"/>
            <w:left w:w="0" w:type="dxa"/>
            <w:bottom w:w="0" w:type="dxa"/>
            <w:right w:w="0" w:type="dxa"/>
          </w:tblCellMar>
        </w:tblPrEx>
        <w:trPr>
          <w:trHeight w:val="633" w:hRule="atLeast"/>
        </w:trPr>
        <w:tc>
          <w:tcPr>
            <w:tcW w:w="46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岗位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重点</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安全操作规程的学习培训，安全生产规章制度的学习培训，作业岗位安全风险辨识培训，事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故案例教育等</w:t>
            </w:r>
          </w:p>
        </w:tc>
      </w:tr>
      <w:tr>
        <w:tblPrEx>
          <w:tblLayout w:type="fixed"/>
          <w:tblCellMar>
            <w:top w:w="0" w:type="dxa"/>
            <w:left w:w="0" w:type="dxa"/>
            <w:bottom w:w="0" w:type="dxa"/>
            <w:right w:w="0" w:type="dxa"/>
          </w:tblCellMar>
        </w:tblPrEx>
        <w:trPr>
          <w:trHeight w:val="470" w:hRule="atLeast"/>
        </w:trPr>
        <w:tc>
          <w:tcPr>
            <w:tcW w:w="46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教育</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培训</w:t>
            </w:r>
          </w:p>
        </w:tc>
        <w:tc>
          <w:tcPr>
            <w:tcW w:w="112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种类</w:t>
            </w: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日常安全教育培训、定期安全考试和专题安全教育培训</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考点十一</w:t>
      </w:r>
      <w:r>
        <w:rPr>
          <w:rFonts w:hint="eastAsia" w:ascii="微软雅黑" w:hAnsi="微软雅黑" w:eastAsia="微软雅黑" w:cs="微软雅黑"/>
          <w:color w:val="000000"/>
          <w:sz w:val="18"/>
          <w:szCs w:val="18"/>
        </w:rPr>
        <w:t>特种设备安全监察的基本规定(表2-11)</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2—11特种设备安全监察的基本规定</w:t>
      </w:r>
    </w:p>
    <w:tbl>
      <w:tblPr>
        <w:tblStyle w:val="4"/>
        <w:tblW w:w="8419" w:type="dxa"/>
        <w:tblInd w:w="15" w:type="dxa"/>
        <w:tblLayout w:type="fixed"/>
        <w:tblCellMar>
          <w:top w:w="0" w:type="dxa"/>
          <w:left w:w="0" w:type="dxa"/>
          <w:bottom w:w="0" w:type="dxa"/>
          <w:right w:w="0" w:type="dxa"/>
        </w:tblCellMar>
      </w:tblPr>
      <w:tblGrid>
        <w:gridCol w:w="388"/>
        <w:gridCol w:w="404"/>
        <w:gridCol w:w="796"/>
        <w:gridCol w:w="6831"/>
      </w:tblGrid>
      <w:tr>
        <w:tblPrEx>
          <w:tblLayout w:type="fixed"/>
          <w:tblCellMar>
            <w:top w:w="0" w:type="dxa"/>
            <w:left w:w="0" w:type="dxa"/>
            <w:bottom w:w="0" w:type="dxa"/>
            <w:right w:w="0" w:type="dxa"/>
          </w:tblCellMar>
        </w:tblPrEx>
        <w:trPr>
          <w:trHeight w:val="302" w:hRule="atLeast"/>
        </w:trPr>
        <w:tc>
          <w:tcPr>
            <w:tcW w:w="1588" w:type="dxa"/>
            <w:gridSpan w:val="3"/>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643" w:hRule="atLeast"/>
        </w:trPr>
        <w:tc>
          <w:tcPr>
            <w:tcW w:w="388"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利用各种燃料、电或者其他能源，将所盛装的液体加热到一定的参数，并对外输出热能的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w:t>
            </w:r>
          </w:p>
        </w:tc>
      </w:tr>
      <w:tr>
        <w:tblPrEx>
          <w:tblLayout w:type="fixed"/>
          <w:tblCellMar>
            <w:top w:w="0" w:type="dxa"/>
            <w:left w:w="0" w:type="dxa"/>
            <w:bottom w:w="0" w:type="dxa"/>
            <w:right w:w="0" w:type="dxa"/>
          </w:tblCellMar>
        </w:tblPrEx>
        <w:trPr>
          <w:trHeight w:val="638"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类型</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容积大于或者等于</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L的承压蒸汽锅炉；出口水压大于或者等于</w:t>
            </w:r>
            <w:r>
              <w:rPr>
                <w:rFonts w:hint="eastAsia" w:ascii="微软雅黑" w:hAnsi="微软雅黑" w:eastAsia="微软雅黑" w:cs="微软雅黑"/>
                <w:color w:val="000000"/>
                <w:kern w:val="0"/>
                <w:sz w:val="18"/>
                <w:szCs w:val="18"/>
              </w:rPr>
              <w:t>0.1MPa(</w:t>
            </w:r>
            <w:r>
              <w:rPr>
                <w:rFonts w:hint="eastAsia" w:ascii="微软雅黑" w:hAnsi="微软雅黑" w:eastAsia="微软雅黑" w:cs="微软雅黑"/>
                <w:color w:val="000000"/>
                <w:kern w:val="0"/>
                <w:sz w:val="18"/>
                <w:szCs w:val="18"/>
              </w:rPr>
              <w:t>表压</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，且额定功</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率大于或者等于</w:t>
            </w:r>
            <w:r>
              <w:rPr>
                <w:rFonts w:hint="eastAsia" w:ascii="微软雅黑" w:hAnsi="微软雅黑" w:eastAsia="微软雅黑" w:cs="微软雅黑"/>
                <w:color w:val="000000"/>
                <w:kern w:val="0"/>
                <w:sz w:val="18"/>
                <w:szCs w:val="18"/>
              </w:rPr>
              <w:t>0.1MW</w:t>
            </w:r>
            <w:r>
              <w:rPr>
                <w:rFonts w:hint="eastAsia" w:ascii="微软雅黑" w:hAnsi="微软雅黑" w:eastAsia="微软雅黑" w:cs="微软雅黑"/>
                <w:color w:val="000000"/>
                <w:kern w:val="0"/>
                <w:sz w:val="18"/>
                <w:szCs w:val="18"/>
              </w:rPr>
              <w:t>的承压热水锅炉；有机热载体锅炉</w:t>
            </w:r>
          </w:p>
        </w:tc>
      </w:tr>
      <w:tr>
        <w:tblPrEx>
          <w:tblLayout w:type="fixed"/>
          <w:tblCellMar>
            <w:top w:w="0" w:type="dxa"/>
            <w:left w:w="0" w:type="dxa"/>
            <w:bottom w:w="0" w:type="dxa"/>
            <w:right w:w="0" w:type="dxa"/>
          </w:tblCellMar>
        </w:tblPrEx>
        <w:trPr>
          <w:trHeight w:val="321"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盛装气体或者液体，承载一定压力的密闭设备</w:t>
            </w:r>
          </w:p>
        </w:tc>
      </w:tr>
      <w:tr>
        <w:tblPrEx>
          <w:tblLayout w:type="fixed"/>
          <w:tblCellMar>
            <w:top w:w="0" w:type="dxa"/>
            <w:left w:w="0" w:type="dxa"/>
            <w:bottom w:w="0" w:type="dxa"/>
            <w:right w:w="0" w:type="dxa"/>
          </w:tblCellMar>
        </w:tblPrEx>
        <w:trPr>
          <w:trHeight w:val="1118"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容器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最高工作压力大于或者等于</w:t>
            </w:r>
            <w:r>
              <w:rPr>
                <w:rFonts w:hint="eastAsia" w:ascii="微软雅黑" w:hAnsi="微软雅黑" w:eastAsia="微软雅黑" w:cs="微软雅黑"/>
                <w:color w:val="000000"/>
                <w:kern w:val="0"/>
                <w:sz w:val="18"/>
                <w:szCs w:val="18"/>
              </w:rPr>
              <w:t>0.1MPa(</w:t>
            </w:r>
            <w:r>
              <w:rPr>
                <w:rFonts w:hint="eastAsia" w:ascii="微软雅黑" w:hAnsi="微软雅黑" w:eastAsia="微软雅黑" w:cs="微软雅黑"/>
                <w:color w:val="000000"/>
                <w:kern w:val="0"/>
                <w:sz w:val="18"/>
                <w:szCs w:val="18"/>
              </w:rPr>
              <w:t>表压</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，且压力与容积的乘积大于或者等于</w:t>
            </w:r>
            <w:r>
              <w:rPr>
                <w:rFonts w:hint="eastAsia" w:ascii="微软雅黑" w:hAnsi="微软雅黑" w:eastAsia="微软雅黑" w:cs="微软雅黑"/>
                <w:color w:val="000000"/>
                <w:kern w:val="0"/>
                <w:sz w:val="18"/>
                <w:szCs w:val="18"/>
              </w:rPr>
              <w:t>2.5MPa</w:t>
            </w:r>
            <w:r>
              <w:rPr>
                <w:rFonts w:hint="eastAsia" w:ascii="微软雅黑" w:hAnsi="微软雅黑" w:eastAsia="微软雅黑" w:cs="微软雅黑"/>
                <w:color w:val="000000"/>
                <w:kern w:val="0"/>
                <w:sz w:val="18"/>
                <w:szCs w:val="18"/>
              </w:rPr>
              <w:t>·L</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的气体、液化气体和最高工作温度高于或者等于标准沸点的液体的固定式容器和移动式容器；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盛装公称工作压力大于或者等于</w:t>
            </w:r>
            <w:r>
              <w:rPr>
                <w:rFonts w:hint="eastAsia" w:ascii="微软雅黑" w:hAnsi="微软雅黑" w:eastAsia="微软雅黑" w:cs="微软雅黑"/>
                <w:color w:val="000000"/>
                <w:kern w:val="0"/>
                <w:sz w:val="18"/>
                <w:szCs w:val="18"/>
              </w:rPr>
              <w:t>0.2MPa(</w:t>
            </w:r>
            <w:r>
              <w:rPr>
                <w:rFonts w:hint="eastAsia" w:ascii="微软雅黑" w:hAnsi="微软雅黑" w:eastAsia="微软雅黑" w:cs="微软雅黑"/>
                <w:color w:val="000000"/>
                <w:kern w:val="0"/>
                <w:sz w:val="18"/>
                <w:szCs w:val="18"/>
              </w:rPr>
              <w:t>表压</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，且压力与容积的乘积大于或者等于</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OMPa</w:t>
            </w:r>
            <w:r>
              <w:rPr>
                <w:rFonts w:hint="eastAsia" w:ascii="微软雅黑" w:hAnsi="微软雅黑" w:eastAsia="微软雅黑" w:cs="微软雅黑"/>
                <w:color w:val="000000"/>
                <w:kern w:val="0"/>
                <w:sz w:val="18"/>
                <w:szCs w:val="18"/>
              </w:rPr>
              <w:t>·L的气体、液化气体和标准沸点等于或者低于</w:t>
            </w:r>
            <w:r>
              <w:rPr>
                <w:rFonts w:hint="eastAsia" w:ascii="微软雅黑" w:hAnsi="微软雅黑" w:eastAsia="微软雅黑" w:cs="微软雅黑"/>
                <w:color w:val="000000"/>
                <w:kern w:val="0"/>
                <w:sz w:val="18"/>
                <w:szCs w:val="18"/>
              </w:rPr>
              <w:t>60</w:t>
            </w:r>
            <w:r>
              <w:rPr>
                <w:rFonts w:hint="eastAsia" w:ascii="微软雅黑" w:hAnsi="微软雅黑" w:eastAsia="微软雅黑" w:cs="微软雅黑"/>
                <w:color w:val="000000"/>
                <w:kern w:val="0"/>
                <w:sz w:val="18"/>
                <w:szCs w:val="18"/>
              </w:rPr>
              <w:t>℃液体的气瓶；氧舱等</w:t>
            </w:r>
          </w:p>
        </w:tc>
      </w:tr>
      <w:tr>
        <w:tblPrEx>
          <w:tblLayout w:type="fixed"/>
          <w:tblCellMar>
            <w:top w:w="0" w:type="dxa"/>
            <w:left w:w="0" w:type="dxa"/>
            <w:bottom w:w="0" w:type="dxa"/>
            <w:right w:w="0" w:type="dxa"/>
          </w:tblCellMar>
        </w:tblPrEx>
        <w:trPr>
          <w:trHeight w:val="321"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利用一定的压力，用于输送气体或者液体的管状设备</w:t>
            </w:r>
          </w:p>
        </w:tc>
      </w:tr>
      <w:tr>
        <w:tblPrEx>
          <w:tblLayout w:type="fixed"/>
          <w:tblCellMar>
            <w:top w:w="0" w:type="dxa"/>
            <w:left w:w="0" w:type="dxa"/>
            <w:bottom w:w="0" w:type="dxa"/>
            <w:right w:w="0" w:type="dxa"/>
          </w:tblCellMar>
        </w:tblPrEx>
        <w:trPr>
          <w:trHeight w:val="960" w:hRule="atLeast"/>
        </w:trPr>
        <w:tc>
          <w:tcPr>
            <w:tcW w:w="388"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w:t>
            </w:r>
          </w:p>
        </w:tc>
        <w:tc>
          <w:tcPr>
            <w:tcW w:w="404" w:type="dxa"/>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管道</w:t>
            </w:r>
          </w:p>
          <w:p>
            <w:pPr>
              <w:autoSpaceDE w:val="0"/>
              <w:autoSpaceDN w:val="0"/>
              <w:rPr>
                <w:rFonts w:hint="eastAsia" w:ascii="微软雅黑" w:hAnsi="微软雅黑" w:eastAsia="微软雅黑" w:cs="微软雅黑"/>
                <w:color w:val="000000"/>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类型</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最高工作压力大于或者等于</w:t>
            </w:r>
            <w:r>
              <w:rPr>
                <w:rFonts w:hint="eastAsia" w:ascii="微软雅黑" w:hAnsi="微软雅黑" w:eastAsia="微软雅黑" w:cs="微软雅黑"/>
                <w:color w:val="000000"/>
                <w:kern w:val="0"/>
                <w:sz w:val="18"/>
                <w:szCs w:val="18"/>
              </w:rPr>
              <w:t>0.1MPa(</w:t>
            </w:r>
            <w:r>
              <w:rPr>
                <w:rFonts w:hint="eastAsia" w:ascii="微软雅黑" w:hAnsi="微软雅黑" w:eastAsia="微软雅黑" w:cs="微软雅黑"/>
                <w:color w:val="000000"/>
                <w:kern w:val="0"/>
                <w:sz w:val="18"/>
                <w:szCs w:val="18"/>
              </w:rPr>
              <w:t>表压</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的气体、液化气体、蒸汽介质或者可燃、易爆、</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有毒、有腐蚀性、最高工作温度高于或者等于标准沸点的液体介质，且公称直径大于</w:t>
            </w:r>
            <w:r>
              <w:rPr>
                <w:rFonts w:hint="eastAsia" w:ascii="微软雅黑" w:hAnsi="微软雅黑" w:eastAsia="微软雅黑" w:cs="微软雅黑"/>
                <w:color w:val="000000"/>
                <w:kern w:val="0"/>
                <w:sz w:val="18"/>
                <w:szCs w:val="18"/>
              </w:rPr>
              <w:t>25mm</w:t>
            </w:r>
            <w:r>
              <w:rPr>
                <w:rFonts w:hint="eastAsia" w:ascii="微软雅黑" w:hAnsi="微软雅黑" w:eastAsia="微软雅黑" w:cs="微软雅黑"/>
                <w:color w:val="000000"/>
                <w:kern w:val="0"/>
                <w:sz w:val="18"/>
                <w:szCs w:val="18"/>
              </w:rPr>
              <w:t>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管道</w:t>
            </w:r>
          </w:p>
        </w:tc>
      </w:tr>
      <w:tr>
        <w:tblPrEx>
          <w:tblLayout w:type="fixed"/>
          <w:tblCellMar>
            <w:top w:w="0" w:type="dxa"/>
            <w:left w:w="0" w:type="dxa"/>
            <w:bottom w:w="0" w:type="dxa"/>
            <w:right w:w="0" w:type="dxa"/>
          </w:tblCellMar>
        </w:tblPrEx>
        <w:trPr>
          <w:trHeight w:val="638" w:hRule="atLeast"/>
        </w:trPr>
        <w:tc>
          <w:tcPr>
            <w:tcW w:w="388"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的概</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念</w:t>
            </w:r>
          </w:p>
        </w:tc>
        <w:tc>
          <w:tcPr>
            <w:tcW w:w="404" w:type="dxa"/>
            <w:vMerge w:val="restart"/>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电梯</w:t>
            </w: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动力驱动，利用沿刚性导轨运行的箱体或者沿固定线路运行的梯级</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踏步</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，进行升降或者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平行运送人、货物的机电设备</w:t>
            </w:r>
          </w:p>
        </w:tc>
      </w:tr>
      <w:tr>
        <w:tblPrEx>
          <w:tblLayout w:type="fixed"/>
          <w:tblCellMar>
            <w:top w:w="0" w:type="dxa"/>
            <w:left w:w="0" w:type="dxa"/>
            <w:bottom w:w="0" w:type="dxa"/>
            <w:right w:w="0" w:type="dxa"/>
          </w:tblCellMar>
        </w:tblPrEx>
        <w:trPr>
          <w:trHeight w:val="321"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vMerge w:val="continue"/>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类型</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载人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货</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电梯、自动扶梯、自动人行道等</w:t>
            </w:r>
          </w:p>
        </w:tc>
      </w:tr>
      <w:tr>
        <w:tblPrEx>
          <w:tblLayout w:type="fixed"/>
          <w:tblCellMar>
            <w:top w:w="0" w:type="dxa"/>
            <w:left w:w="0" w:type="dxa"/>
            <w:bottom w:w="0" w:type="dxa"/>
            <w:right w:w="0" w:type="dxa"/>
          </w:tblCellMar>
        </w:tblPrEx>
        <w:trPr>
          <w:trHeight w:val="316"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用于垂直升降或者垂直升降并水平移动重物的机电设备</w:t>
            </w:r>
          </w:p>
        </w:tc>
      </w:tr>
      <w:tr>
        <w:tblPrEx>
          <w:tblLayout w:type="fixed"/>
          <w:tblCellMar>
            <w:top w:w="0" w:type="dxa"/>
            <w:left w:w="0" w:type="dxa"/>
            <w:bottom w:w="0" w:type="dxa"/>
            <w:right w:w="0" w:type="dxa"/>
          </w:tblCellMar>
        </w:tblPrEx>
        <w:trPr>
          <w:trHeight w:val="643"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起重</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机械</w:t>
            </w:r>
          </w:p>
          <w:p>
            <w:pPr>
              <w:autoSpaceDE w:val="0"/>
              <w:autoSpaceDN w:val="0"/>
              <w:rPr>
                <w:rFonts w:hint="eastAsia" w:ascii="微软雅黑" w:hAnsi="微软雅黑" w:eastAsia="微软雅黑" w:cs="微软雅黑"/>
                <w:color w:val="000000"/>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类型</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额定起重量大于或者等于</w:t>
            </w:r>
            <w:r>
              <w:rPr>
                <w:rFonts w:hint="eastAsia" w:ascii="微软雅黑" w:hAnsi="微软雅黑" w:eastAsia="微软雅黑" w:cs="微软雅黑"/>
                <w:color w:val="000000"/>
                <w:kern w:val="0"/>
                <w:sz w:val="18"/>
                <w:szCs w:val="18"/>
              </w:rPr>
              <w:t>0.5t</w:t>
            </w:r>
            <w:r>
              <w:rPr>
                <w:rFonts w:hint="eastAsia" w:ascii="微软雅黑" w:hAnsi="微软雅黑" w:eastAsia="微软雅黑" w:cs="微软雅黑"/>
                <w:color w:val="000000"/>
                <w:kern w:val="0"/>
                <w:sz w:val="18"/>
                <w:szCs w:val="18"/>
              </w:rPr>
              <w:t>的升降机；额定起重量大于或者等于</w:t>
            </w:r>
            <w:r>
              <w:rPr>
                <w:rFonts w:hint="eastAsia" w:ascii="微软雅黑" w:hAnsi="微软雅黑" w:eastAsia="微软雅黑" w:cs="微软雅黑"/>
                <w:color w:val="000000"/>
                <w:kern w:val="0"/>
                <w:sz w:val="18"/>
                <w:szCs w:val="18"/>
              </w:rPr>
              <w:t>1t</w:t>
            </w:r>
            <w:r>
              <w:rPr>
                <w:rFonts w:hint="eastAsia" w:ascii="微软雅黑" w:hAnsi="微软雅黑" w:eastAsia="微软雅黑" w:cs="微软雅黑"/>
                <w:color w:val="000000"/>
                <w:kern w:val="0"/>
                <w:sz w:val="18"/>
                <w:szCs w:val="18"/>
              </w:rPr>
              <w:t>，且提升高度大于或者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等于</w:t>
            </w:r>
            <w:r>
              <w:rPr>
                <w:rFonts w:hint="eastAsia" w:ascii="微软雅黑" w:hAnsi="微软雅黑" w:eastAsia="微软雅黑" w:cs="微软雅黑"/>
                <w:color w:val="000000"/>
                <w:kern w:val="0"/>
                <w:sz w:val="18"/>
                <w:szCs w:val="18"/>
              </w:rPr>
              <w:t>2m</w:t>
            </w:r>
            <w:r>
              <w:rPr>
                <w:rFonts w:hint="eastAsia" w:ascii="微软雅黑" w:hAnsi="微软雅黑" w:eastAsia="微软雅黑" w:cs="微软雅黑"/>
                <w:color w:val="000000"/>
                <w:kern w:val="0"/>
                <w:sz w:val="18"/>
                <w:szCs w:val="18"/>
              </w:rPr>
              <w:t>的起重机和承重形式固定的电动葫芦等</w:t>
            </w:r>
          </w:p>
        </w:tc>
      </w:tr>
      <w:tr>
        <w:tblPrEx>
          <w:tblLayout w:type="fixed"/>
          <w:tblCellMar>
            <w:top w:w="0" w:type="dxa"/>
            <w:left w:w="0" w:type="dxa"/>
            <w:bottom w:w="0" w:type="dxa"/>
            <w:right w:w="0" w:type="dxa"/>
          </w:tblCellMar>
        </w:tblPrEx>
        <w:trPr>
          <w:trHeight w:val="326"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客运</w:t>
            </w: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动力驱动，利用柔性绳索牵引箱体等运载工具运送人员的机电设备</w:t>
            </w:r>
          </w:p>
        </w:tc>
      </w:tr>
      <w:tr>
        <w:tblPrEx>
          <w:tblLayout w:type="fixed"/>
          <w:tblCellMar>
            <w:top w:w="0" w:type="dxa"/>
            <w:left w:w="0" w:type="dxa"/>
            <w:bottom w:w="0" w:type="dxa"/>
            <w:right w:w="0" w:type="dxa"/>
          </w:tblCellMar>
        </w:tblPrEx>
        <w:trPr>
          <w:trHeight w:val="316"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索道</w:t>
            </w: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类型</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客运架空索道、客运缆车、客运拖牵索道等</w:t>
            </w:r>
          </w:p>
        </w:tc>
      </w:tr>
      <w:tr>
        <w:tblPrEx>
          <w:tblLayout w:type="fixed"/>
          <w:tblCellMar>
            <w:top w:w="0" w:type="dxa"/>
            <w:left w:w="0" w:type="dxa"/>
            <w:bottom w:w="0" w:type="dxa"/>
            <w:right w:w="0" w:type="dxa"/>
          </w:tblCellMar>
        </w:tblPrEx>
        <w:trPr>
          <w:trHeight w:val="316"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tcBorders>
              <w:top w:val="single" w:color="auto" w:sz="8" w:space="0"/>
              <w:left w:val="single" w:color="auto" w:sz="8"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大型</w:t>
            </w: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概念</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用于经营目的，承载乘客游乐的设施</w:t>
            </w:r>
          </w:p>
        </w:tc>
      </w:tr>
      <w:tr>
        <w:tblPrEx>
          <w:tblLayout w:type="fixed"/>
          <w:tblCellMar>
            <w:top w:w="0" w:type="dxa"/>
            <w:left w:w="0" w:type="dxa"/>
            <w:bottom w:w="0" w:type="dxa"/>
            <w:right w:w="0" w:type="dxa"/>
          </w:tblCellMar>
        </w:tblPrEx>
        <w:trPr>
          <w:trHeight w:val="638" w:hRule="atLeast"/>
        </w:trPr>
        <w:tc>
          <w:tcPr>
            <w:tcW w:w="388"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404" w:type="dxa"/>
            <w:tcBorders>
              <w:top w:val="nil"/>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游乐</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设施</w:t>
            </w: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类型</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 xml:space="preserve"> </w:t>
            </w:r>
            <w:r>
              <w:rPr>
                <w:rFonts w:hint="eastAsia" w:ascii="微软雅黑" w:hAnsi="微软雅黑" w:eastAsia="微软雅黑" w:cs="微软雅黑"/>
                <w:color w:val="000000"/>
                <w:kern w:val="0"/>
                <w:sz w:val="18"/>
                <w:szCs w:val="18"/>
              </w:rPr>
              <w:t>设计最大运行线速度大于或者等于</w:t>
            </w:r>
            <w:r>
              <w:rPr>
                <w:rFonts w:hint="eastAsia" w:ascii="微软雅黑" w:hAnsi="微软雅黑" w:eastAsia="微软雅黑" w:cs="微软雅黑"/>
                <w:color w:val="000000"/>
                <w:kern w:val="0"/>
                <w:sz w:val="18"/>
                <w:szCs w:val="18"/>
              </w:rPr>
              <w:t>2m</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s</w:t>
            </w:r>
            <w:r>
              <w:rPr>
                <w:rFonts w:hint="eastAsia" w:ascii="微软雅黑" w:hAnsi="微软雅黑" w:eastAsia="微软雅黑" w:cs="微软雅黑"/>
                <w:color w:val="000000"/>
                <w:kern w:val="0"/>
                <w:sz w:val="18"/>
                <w:szCs w:val="18"/>
              </w:rPr>
              <w:t>，或者运行高度距地面高于或者等于</w:t>
            </w:r>
            <w:r>
              <w:rPr>
                <w:rFonts w:hint="eastAsia" w:ascii="微软雅黑" w:hAnsi="微软雅黑" w:eastAsia="微软雅黑" w:cs="微软雅黑"/>
                <w:color w:val="000000"/>
                <w:kern w:val="0"/>
                <w:sz w:val="18"/>
                <w:szCs w:val="18"/>
              </w:rPr>
              <w:t>2m</w:t>
            </w:r>
            <w:r>
              <w:rPr>
                <w:rFonts w:hint="eastAsia" w:ascii="微软雅黑" w:hAnsi="微软雅黑" w:eastAsia="微软雅黑" w:cs="微软雅黑"/>
                <w:color w:val="000000"/>
                <w:kern w:val="0"/>
                <w:sz w:val="18"/>
                <w:szCs w:val="18"/>
              </w:rPr>
              <w:t>的载人大型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游乐设施</w:t>
            </w:r>
          </w:p>
        </w:tc>
      </w:tr>
      <w:tr>
        <w:tblPrEx>
          <w:tblLayout w:type="fixed"/>
          <w:tblCellMar>
            <w:top w:w="0" w:type="dxa"/>
            <w:left w:w="0" w:type="dxa"/>
            <w:bottom w:w="0" w:type="dxa"/>
            <w:right w:w="0" w:type="dxa"/>
          </w:tblCellMar>
        </w:tblPrEx>
        <w:trPr>
          <w:trHeight w:val="638" w:hRule="atLeast"/>
        </w:trPr>
        <w:tc>
          <w:tcPr>
            <w:tcW w:w="388" w:type="dxa"/>
            <w:vMerge w:val="continue"/>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200" w:type="dxa"/>
            <w:gridSpan w:val="2"/>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内专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用机动车辆</w:t>
            </w: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除道路交通、农用车辆以外仅在工厂厂区、旅游景区、游乐场所等特定区域使用的专用机动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车辆</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09" w:type="dxa"/>
        <w:tblInd w:w="15" w:type="dxa"/>
        <w:tblLayout w:type="fixed"/>
        <w:tblCellMar>
          <w:top w:w="0" w:type="dxa"/>
          <w:left w:w="0" w:type="dxa"/>
          <w:bottom w:w="0" w:type="dxa"/>
          <w:right w:w="0" w:type="dxa"/>
        </w:tblCellMar>
      </w:tblPr>
      <w:tblGrid>
        <w:gridCol w:w="388"/>
        <w:gridCol w:w="1200"/>
        <w:gridCol w:w="682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内容</w:t>
            </w:r>
          </w:p>
        </w:tc>
      </w:tr>
      <w:tr>
        <w:tblPrEx>
          <w:tblLayout w:type="fixed"/>
          <w:tblCellMar>
            <w:top w:w="0" w:type="dxa"/>
            <w:left w:w="0" w:type="dxa"/>
            <w:bottom w:w="0" w:type="dxa"/>
            <w:right w:w="0" w:type="dxa"/>
          </w:tblCellMar>
        </w:tblPrEx>
        <w:trPr>
          <w:trHeight w:val="1108" w:hRule="atLeast"/>
        </w:trPr>
        <w:tc>
          <w:tcPr>
            <w:tcW w:w="388"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种设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备安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全监</w:t>
            </w: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适用范围</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涉及生命安全、危险性较大的锅炉、压力容器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含气瓶，下同</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、压力管道、电梯、起重机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械、客运索道、大型游乐设施和场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内专用机动车辆。前款特种设备的目录由国务院负责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特种设备安全监督管理的部门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以下简称国务院特种设备安全监督管理部门</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制订，报国务院</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批准后执行</w:t>
            </w:r>
          </w:p>
        </w:tc>
      </w:tr>
      <w:tr>
        <w:tblPrEx>
          <w:tblLayout w:type="fixed"/>
          <w:tblCellMar>
            <w:top w:w="0" w:type="dxa"/>
            <w:left w:w="0" w:type="dxa"/>
            <w:bottom w:w="0" w:type="dxa"/>
            <w:right w:w="0" w:type="dxa"/>
          </w:tblCellMar>
        </w:tblPrEx>
        <w:trPr>
          <w:trHeight w:val="638" w:hRule="atLeast"/>
        </w:trPr>
        <w:tc>
          <w:tcPr>
            <w:tcW w:w="388"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察条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例》</w:t>
            </w:r>
          </w:p>
          <w:p>
            <w:pPr>
              <w:autoSpaceDE w:val="0"/>
              <w:autoSpaceDN w:val="0"/>
              <w:rPr>
                <w:rFonts w:hint="eastAsia" w:ascii="微软雅黑" w:hAnsi="微软雅黑" w:eastAsia="微软雅黑" w:cs="微软雅黑"/>
                <w:color w:val="000000"/>
                <w:kern w:val="0"/>
                <w:sz w:val="18"/>
                <w:szCs w:val="18"/>
              </w:rPr>
            </w:pPr>
          </w:p>
        </w:tc>
        <w:tc>
          <w:tcPr>
            <w:tcW w:w="1200"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不适用的范围</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军事装备、核设施、航空航天器、铁路机车、海上设施和船舶以及矿山井下使用的特种设</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备、民用机场专用设备的安全监察不适用本条例</w:t>
            </w:r>
          </w:p>
        </w:tc>
      </w:tr>
      <w:tr>
        <w:tblPrEx>
          <w:tblLayout w:type="fixed"/>
          <w:tblCellMar>
            <w:top w:w="0" w:type="dxa"/>
            <w:left w:w="0" w:type="dxa"/>
            <w:bottom w:w="0" w:type="dxa"/>
            <w:right w:w="0" w:type="dxa"/>
          </w:tblCellMar>
        </w:tblPrEx>
        <w:trPr>
          <w:trHeight w:val="796"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安全监察部门</w:t>
            </w:r>
          </w:p>
          <w:p>
            <w:pPr>
              <w:autoSpaceDE w:val="0"/>
              <w:autoSpaceDN w:val="0"/>
              <w:rPr>
                <w:rFonts w:hint="eastAsia" w:ascii="微软雅黑" w:hAnsi="微软雅黑" w:eastAsia="微软雅黑" w:cs="微软雅黑"/>
                <w:color w:val="000000"/>
                <w:kern w:val="0"/>
                <w:sz w:val="18"/>
                <w:szCs w:val="18"/>
              </w:rPr>
            </w:pPr>
          </w:p>
        </w:tc>
        <w:tc>
          <w:tcPr>
            <w:tcW w:w="682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根据《特种设备安全监察条例》的规定：国务院特种设备安全监督管理部门负责全国特种设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备的安全监察工作，县以上地方负责特种设备安全监督管理的部门对本行政区域内特种设备实</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施安全监察</w:t>
            </w:r>
          </w:p>
        </w:tc>
      </w:tr>
      <w:tr>
        <w:tblPrEx>
          <w:tblLayout w:type="fixed"/>
          <w:tblCellMar>
            <w:top w:w="0" w:type="dxa"/>
            <w:left w:w="0" w:type="dxa"/>
            <w:bottom w:w="0" w:type="dxa"/>
            <w:right w:w="0" w:type="dxa"/>
          </w:tblCellMar>
        </w:tblPrEx>
        <w:trPr>
          <w:trHeight w:val="796"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使用单位和检验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检测机构的职责</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根据《特种设备安全监察条例》的规定：特种设备生产、使用单位应当建立健全特种设备安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全、节能管理制度和岗位安全、节能责任制度</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考点十二</w:t>
      </w:r>
      <w:r>
        <w:rPr>
          <w:rFonts w:hint="eastAsia" w:ascii="微软雅黑" w:hAnsi="微软雅黑" w:eastAsia="微软雅黑" w:cs="微软雅黑"/>
          <w:color w:val="000000"/>
          <w:sz w:val="18"/>
          <w:szCs w:val="18"/>
        </w:rPr>
        <w:t>特种设备生产的安全规定(表2—12)</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2—12特种设备生产的安全规定</w:t>
      </w:r>
    </w:p>
    <w:tbl>
      <w:tblPr>
        <w:tblStyle w:val="4"/>
        <w:tblW w:w="8419" w:type="dxa"/>
        <w:tblInd w:w="15" w:type="dxa"/>
        <w:tblLayout w:type="fixed"/>
        <w:tblCellMar>
          <w:top w:w="0" w:type="dxa"/>
          <w:left w:w="0" w:type="dxa"/>
          <w:bottom w:w="0" w:type="dxa"/>
          <w:right w:w="0" w:type="dxa"/>
        </w:tblCellMar>
      </w:tblPr>
      <w:tblGrid>
        <w:gridCol w:w="475"/>
        <w:gridCol w:w="1113"/>
        <w:gridCol w:w="683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规定内容</w:t>
            </w:r>
          </w:p>
        </w:tc>
      </w:tr>
      <w:tr>
        <w:tblPrEx>
          <w:tblLayout w:type="fixed"/>
          <w:tblCellMar>
            <w:top w:w="0" w:type="dxa"/>
            <w:left w:w="0" w:type="dxa"/>
            <w:bottom w:w="0" w:type="dxa"/>
            <w:right w:w="0" w:type="dxa"/>
          </w:tblCellMar>
        </w:tblPrEx>
        <w:trPr>
          <w:trHeight w:val="561"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特种设备生产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单位的规定</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特种设备生产单位对其生产的特种设备的安全性能和能效指标负责，不得生产不符合安全性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能要求和能效指标的特种设备，不得生产国家产业政策明令淘汰的特种设备</w:t>
            </w:r>
          </w:p>
        </w:tc>
      </w:tr>
      <w:tr>
        <w:tblPrEx>
          <w:tblLayout w:type="fixed"/>
          <w:tblCellMar>
            <w:top w:w="0" w:type="dxa"/>
            <w:left w:w="0" w:type="dxa"/>
            <w:bottom w:w="0" w:type="dxa"/>
            <w:right w:w="0" w:type="dxa"/>
          </w:tblCellMar>
        </w:tblPrEx>
        <w:trPr>
          <w:trHeight w:val="806"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压力</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容器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设计</w:t>
            </w: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设计单位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的条件</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有适应的设计人员、设计审核人员。</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有适应的场所和设备。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有适应的健全的管理制度和责任制度</w:t>
            </w:r>
          </w:p>
        </w:tc>
      </w:tr>
      <w:tr>
        <w:tblPrEx>
          <w:tblLayout w:type="fixed"/>
          <w:tblCellMar>
            <w:top w:w="0" w:type="dxa"/>
            <w:left w:w="0" w:type="dxa"/>
            <w:bottom w:w="0" w:type="dxa"/>
            <w:right w:w="0" w:type="dxa"/>
          </w:tblCellMar>
        </w:tblPrEx>
        <w:trPr>
          <w:trHeight w:val="633" w:hRule="atLeast"/>
        </w:trPr>
        <w:tc>
          <w:tcPr>
            <w:tcW w:w="47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w:t>
            </w: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设计文件鉴定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锅炉、压力容器中的气瓶、氧舱和客运索道、大型游乐设施以及高耗能特种设备的设计文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件，应当经国务院特种设备安全监督管理部门核准的检验检测机构鉴定，方可用于制造</w:t>
            </w:r>
          </w:p>
        </w:tc>
      </w:tr>
      <w:tr>
        <w:tblPrEx>
          <w:tblLayout w:type="fixed"/>
          <w:tblCellMar>
            <w:top w:w="0" w:type="dxa"/>
            <w:left w:w="0" w:type="dxa"/>
            <w:bottom w:w="0" w:type="dxa"/>
            <w:right w:w="0" w:type="dxa"/>
          </w:tblCellMar>
        </w:tblPrEx>
        <w:trPr>
          <w:trHeight w:val="566"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新产品的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试验和测试</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按照安全技术规范的要求，应当进行型式试验的特种设备产品、部件或者试制特种设备新产</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品、新部件、新材料，必须进行型式试验和能效测试</w:t>
            </w:r>
          </w:p>
        </w:tc>
      </w:tr>
      <w:tr>
        <w:tblPrEx>
          <w:tblLayout w:type="fixed"/>
          <w:tblCellMar>
            <w:top w:w="0" w:type="dxa"/>
            <w:left w:w="0" w:type="dxa"/>
            <w:bottom w:w="0" w:type="dxa"/>
            <w:right w:w="0" w:type="dxa"/>
          </w:tblCellMar>
        </w:tblPrEx>
        <w:trPr>
          <w:trHeight w:val="796" w:hRule="atLeast"/>
        </w:trPr>
        <w:tc>
          <w:tcPr>
            <w:tcW w:w="47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备及其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件、装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置的安</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锅炉等特种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设备及部件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的许可条件</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有适应的专业技术人员和技术工人。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有适应的生产条件和检测手段。</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有健全的质量管理制度和责任制度</w:t>
            </w:r>
          </w:p>
        </w:tc>
      </w:tr>
      <w:tr>
        <w:tblPrEx>
          <w:tblLayout w:type="fixed"/>
          <w:tblCellMar>
            <w:top w:w="0" w:type="dxa"/>
            <w:left w:w="0" w:type="dxa"/>
            <w:bottom w:w="0" w:type="dxa"/>
            <w:right w:w="0" w:type="dxa"/>
          </w:tblCellMar>
        </w:tblPrEx>
        <w:trPr>
          <w:trHeight w:val="556" w:hRule="atLeast"/>
        </w:trPr>
        <w:tc>
          <w:tcPr>
            <w:tcW w:w="475"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出厂附件规定</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特种设备出厂时，应当附有安全技术规范要求的设计文件、产品质量合格证明、安装及使用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维修说明、监督检验证明等文件</w:t>
            </w:r>
          </w:p>
        </w:tc>
      </w:tr>
      <w:tr>
        <w:tblPrEx>
          <w:tblLayout w:type="fixed"/>
          <w:tblCellMar>
            <w:top w:w="0" w:type="dxa"/>
            <w:left w:w="0" w:type="dxa"/>
            <w:bottom w:w="0" w:type="dxa"/>
            <w:right w:w="0" w:type="dxa"/>
          </w:tblCellMar>
        </w:tblPrEx>
        <w:trPr>
          <w:trHeight w:val="816" w:hRule="atLeast"/>
        </w:trPr>
        <w:tc>
          <w:tcPr>
            <w:tcW w:w="475"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维修单位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的要求</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锅炉、压力容器、电梯、起重机械、客运索道、大型游乐设施、场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内专用机动车辆的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维修单位，应当有与特种设备维修相适应的专业技术人员和技术工人以及必要的检测手段，并</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经省、自治区、直辖市特种设备安全监督管理部门许可，方可从事相应的维修活动</w:t>
            </w:r>
          </w:p>
        </w:tc>
      </w:tr>
      <w:tr>
        <w:tblPrEx>
          <w:tblLayout w:type="fixed"/>
          <w:tblCellMar>
            <w:top w:w="0" w:type="dxa"/>
            <w:left w:w="0" w:type="dxa"/>
            <w:bottom w:w="0" w:type="dxa"/>
            <w:right w:w="0" w:type="dxa"/>
          </w:tblCellMar>
        </w:tblPrEx>
        <w:trPr>
          <w:trHeight w:val="1113" w:hRule="atLeast"/>
        </w:trPr>
        <w:tc>
          <w:tcPr>
            <w:tcW w:w="475" w:type="dxa"/>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改造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和维</w:t>
            </w:r>
          </w:p>
        </w:tc>
        <w:tc>
          <w:tcPr>
            <w:tcW w:w="111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技术资料</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移交归档</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锅炉、压力容器、电梯、起重机械、客运索道、大型游乐设施的安装、改造、维修以及场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内专用机动车辆的改造、维修竣工后，安装、改造、维修的施工单位应当在验收后</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内将有关技术资料移交使用单位，高耗能特种设备还应当按照安全技术规范的要求提交能效测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试报告。使用单位应当将其存入该特种设备的安全技术档案</w:t>
            </w:r>
          </w:p>
        </w:tc>
      </w:tr>
      <w:tr>
        <w:tblPrEx>
          <w:tblLayout w:type="fixed"/>
          <w:tblCellMar>
            <w:top w:w="0" w:type="dxa"/>
            <w:left w:w="0" w:type="dxa"/>
            <w:bottom w:w="0" w:type="dxa"/>
            <w:right w:w="0" w:type="dxa"/>
          </w:tblCellMar>
        </w:tblPrEx>
        <w:trPr>
          <w:trHeight w:val="1118" w:hRule="atLeast"/>
        </w:trPr>
        <w:tc>
          <w:tcPr>
            <w:tcW w:w="475"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修的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13"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监督检验</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锅炉、压力容器、压力管道元件、起重机械、大型游乐设施的制造过程和锅炉、压力容器、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电梯、起重机械、客运索道、大型游乐设施的安装、改造、重大维修过程，必须经国务院特种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设备安全监督管理部门核准的检验检测机构按照安全技术规范的要求进行监督检验；未经监督</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检验合格的不得出厂或者交付使用</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续表</w:t>
      </w:r>
    </w:p>
    <w:tbl>
      <w:tblPr>
        <w:tblStyle w:val="4"/>
        <w:tblW w:w="8409" w:type="dxa"/>
        <w:tblInd w:w="15" w:type="dxa"/>
        <w:tblLayout w:type="fixed"/>
        <w:tblCellMar>
          <w:top w:w="0" w:type="dxa"/>
          <w:left w:w="0" w:type="dxa"/>
          <w:bottom w:w="0" w:type="dxa"/>
          <w:right w:w="0" w:type="dxa"/>
        </w:tblCellMar>
      </w:tblPr>
      <w:tblGrid>
        <w:gridCol w:w="1588"/>
        <w:gridCol w:w="6821"/>
      </w:tblGrid>
      <w:tr>
        <w:tblPrEx>
          <w:tblLayout w:type="fixed"/>
          <w:tblCellMar>
            <w:top w:w="0" w:type="dxa"/>
            <w:left w:w="0" w:type="dxa"/>
            <w:bottom w:w="0" w:type="dxa"/>
            <w:right w:w="0" w:type="dxa"/>
          </w:tblCellMar>
        </w:tblPrEx>
        <w:trPr>
          <w:trHeight w:val="297"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2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规定内容</w:t>
            </w:r>
          </w:p>
        </w:tc>
      </w:tr>
      <w:tr>
        <w:tblPrEx>
          <w:tblLayout w:type="fixed"/>
          <w:tblCellMar>
            <w:top w:w="0" w:type="dxa"/>
            <w:left w:w="0" w:type="dxa"/>
            <w:bottom w:w="0" w:type="dxa"/>
            <w:right w:w="0" w:type="dxa"/>
          </w:tblCellMar>
        </w:tblPrEx>
        <w:trPr>
          <w:trHeight w:val="628"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气瓶充装单位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的安全管理</w:t>
            </w:r>
          </w:p>
        </w:tc>
        <w:tc>
          <w:tcPr>
            <w:tcW w:w="682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移动式压力容器、气瓶充装单位应当经省、自治区、直辖市的特种设备安全监督管理部门许</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可，方可从事充装活动</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考点十三</w:t>
      </w:r>
      <w:r>
        <w:rPr>
          <w:rFonts w:hint="eastAsia" w:ascii="微软雅黑" w:hAnsi="微软雅黑" w:eastAsia="微软雅黑" w:cs="微软雅黑"/>
          <w:color w:val="000000"/>
          <w:sz w:val="18"/>
          <w:szCs w:val="18"/>
        </w:rPr>
        <w:t>特种设备使用的安全规定(表2—13)</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2—13特种设备使用的安全规定</w:t>
      </w:r>
    </w:p>
    <w:tbl>
      <w:tblPr>
        <w:tblStyle w:val="4"/>
        <w:tblW w:w="8419" w:type="dxa"/>
        <w:tblInd w:w="15" w:type="dxa"/>
        <w:tblLayout w:type="fixed"/>
        <w:tblCellMar>
          <w:top w:w="0" w:type="dxa"/>
          <w:left w:w="0" w:type="dxa"/>
          <w:bottom w:w="0" w:type="dxa"/>
          <w:right w:w="0" w:type="dxa"/>
        </w:tblCellMar>
      </w:tblPr>
      <w:tblGrid>
        <w:gridCol w:w="792"/>
        <w:gridCol w:w="796"/>
        <w:gridCol w:w="6831"/>
      </w:tblGrid>
      <w:tr>
        <w:tblPrEx>
          <w:tblLayout w:type="fixed"/>
          <w:tblCellMar>
            <w:top w:w="0" w:type="dxa"/>
            <w:left w:w="0" w:type="dxa"/>
            <w:bottom w:w="0" w:type="dxa"/>
            <w:right w:w="0" w:type="dxa"/>
          </w:tblCellMar>
        </w:tblPrEx>
        <w:trPr>
          <w:trHeight w:val="302"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规定内容</w:t>
            </w:r>
          </w:p>
        </w:tc>
      </w:tr>
      <w:tr>
        <w:tblPrEx>
          <w:tblLayout w:type="fixed"/>
          <w:tblCellMar>
            <w:top w:w="0" w:type="dxa"/>
            <w:left w:w="0" w:type="dxa"/>
            <w:bottom w:w="0" w:type="dxa"/>
            <w:right w:w="0" w:type="dxa"/>
          </w:tblCellMar>
        </w:tblPrEx>
        <w:trPr>
          <w:trHeight w:val="811" w:hRule="atLeast"/>
        </w:trPr>
        <w:tc>
          <w:tcPr>
            <w:tcW w:w="79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备使用</w:t>
            </w: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对于使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用登记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的规定</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特种设备在投入使用前或者投入使用后</w:t>
            </w:r>
            <w:r>
              <w:rPr>
                <w:rFonts w:hint="eastAsia" w:ascii="微软雅黑" w:hAnsi="微软雅黑" w:eastAsia="微软雅黑" w:cs="微软雅黑"/>
                <w:color w:val="000000"/>
                <w:kern w:val="0"/>
                <w:sz w:val="18"/>
                <w:szCs w:val="18"/>
              </w:rPr>
              <w:t xml:space="preserve">30 </w:t>
            </w:r>
            <w:r>
              <w:rPr>
                <w:rFonts w:hint="eastAsia" w:ascii="微软雅黑" w:hAnsi="微软雅黑" w:eastAsia="微软雅黑" w:cs="微软雅黑"/>
                <w:color w:val="000000"/>
                <w:kern w:val="0"/>
                <w:sz w:val="18"/>
                <w:szCs w:val="18"/>
              </w:rPr>
              <w:t>日内，特种设备使用单位应当向直辖市或者设区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的市的特种设备安全监督管理部门登记。登记标志应当置于或者附着于该特种设备的显著位置</w:t>
            </w:r>
          </w:p>
        </w:tc>
      </w:tr>
      <w:tr>
        <w:tblPrEx>
          <w:tblLayout w:type="fixed"/>
          <w:tblCellMar>
            <w:top w:w="0" w:type="dxa"/>
            <w:left w:w="0" w:type="dxa"/>
            <w:bottom w:w="0" w:type="dxa"/>
            <w:right w:w="0" w:type="dxa"/>
          </w:tblCellMar>
        </w:tblPrEx>
        <w:trPr>
          <w:trHeight w:val="628" w:hRule="atLeast"/>
        </w:trPr>
        <w:tc>
          <w:tcPr>
            <w:tcW w:w="792"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安全管理</w:t>
            </w:r>
          </w:p>
          <w:p>
            <w:pPr>
              <w:autoSpaceDE w:val="0"/>
              <w:autoSpaceDN w:val="0"/>
              <w:rPr>
                <w:rFonts w:hint="eastAsia" w:ascii="微软雅黑" w:hAnsi="微软雅黑" w:eastAsia="微软雅黑" w:cs="微软雅黑"/>
                <w:color w:val="000000"/>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安全技术</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档案内容</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设计文件、制造单位、产品质量合格证明、使用维护说明等；定期检验和定期自行检查的记录；</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日常使用状况记录；高耗能特种设备的能效测试报告、能耗状况记录以及节能改造技术资料等</w:t>
            </w:r>
          </w:p>
        </w:tc>
      </w:tr>
      <w:tr>
        <w:tblPrEx>
          <w:tblLayout w:type="fixed"/>
          <w:tblCellMar>
            <w:top w:w="0" w:type="dxa"/>
            <w:left w:w="0" w:type="dxa"/>
            <w:bottom w:w="0" w:type="dxa"/>
            <w:right w:w="0" w:type="dxa"/>
          </w:tblCellMar>
        </w:tblPrEx>
        <w:trPr>
          <w:trHeight w:val="806" w:hRule="atLeast"/>
        </w:trPr>
        <w:tc>
          <w:tcPr>
            <w:tcW w:w="79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备维护</w:t>
            </w: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对于特种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设备维护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保养的规定</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特种设备使用单位应当对在用特种设备进行经常性日常维护保养，并定期自行检查。特种设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备使用单位对在用特种设备应当至少每月进行一次自行检查，并做出记录</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796" w:hRule="atLeast"/>
        </w:trPr>
        <w:tc>
          <w:tcPr>
            <w:tcW w:w="792"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保养和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定期检验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对于特种设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备定期检验</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检测的规定</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在安全检验合格有效期届满前</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个月向特种设备检验检测机构提出定期检验要求；未经定期</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检验或者检验不合格的特种设备，不得继续使用</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806" w:hRule="atLeast"/>
        </w:trPr>
        <w:tc>
          <w:tcPr>
            <w:tcW w:w="79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公共服</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务特种</w:t>
            </w: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电梯维护</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保养的安</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全要求</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电梯应当至少每</w:t>
            </w:r>
            <w:r>
              <w:rPr>
                <w:rFonts w:hint="eastAsia" w:ascii="微软雅黑" w:hAnsi="微软雅黑" w:eastAsia="微软雅黑" w:cs="微软雅黑"/>
                <w:color w:val="000000"/>
                <w:kern w:val="0"/>
                <w:sz w:val="18"/>
                <w:szCs w:val="18"/>
              </w:rPr>
              <w:t>15</w:t>
            </w:r>
            <w:r>
              <w:rPr>
                <w:rFonts w:hint="eastAsia" w:ascii="微软雅黑" w:hAnsi="微软雅黑" w:eastAsia="微软雅黑" w:cs="微软雅黑"/>
                <w:color w:val="000000"/>
                <w:kern w:val="0"/>
                <w:sz w:val="18"/>
                <w:szCs w:val="18"/>
              </w:rPr>
              <w:t>日进行一次清洁、润滑、调整和检查</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796" w:hRule="atLeast"/>
        </w:trPr>
        <w:tc>
          <w:tcPr>
            <w:tcW w:w="792" w:type="dxa"/>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设备的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安全管理</w:t>
            </w:r>
          </w:p>
          <w:p>
            <w:pPr>
              <w:autoSpaceDE w:val="0"/>
              <w:autoSpaceDN w:val="0"/>
              <w:rPr>
                <w:rFonts w:hint="eastAsia" w:ascii="微软雅黑" w:hAnsi="微软雅黑" w:eastAsia="微软雅黑" w:cs="微软雅黑"/>
                <w:color w:val="000000"/>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使用前的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试运行和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例行检查</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客运索道、大型游乐设施的运营使用单位在客运索道、大型游乐设施每日投入使用前，应当</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进行试运行和例行安全检查，并对安全装置进行检查确认</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1123" w:hRule="atLeast"/>
        </w:trPr>
        <w:tc>
          <w:tcPr>
            <w:tcW w:w="792" w:type="dxa"/>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作业人员</w:t>
            </w:r>
          </w:p>
          <w:p>
            <w:pPr>
              <w:autoSpaceDE w:val="0"/>
              <w:autoSpaceDN w:val="0"/>
              <w:rPr>
                <w:rFonts w:hint="eastAsia" w:ascii="微软雅黑" w:hAnsi="微软雅黑" w:eastAsia="微软雅黑" w:cs="微软雅黑"/>
                <w:color w:val="000000"/>
                <w:kern w:val="0"/>
                <w:sz w:val="18"/>
                <w:szCs w:val="18"/>
              </w:rPr>
            </w:pPr>
          </w:p>
        </w:tc>
        <w:tc>
          <w:tcPr>
            <w:tcW w:w="796"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作业人员</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资格</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锅炉、压力容器、电梯、起重机械、客运索道、大型游乐设施、场</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内专用机动车辆的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作业人员及其相关管理人员</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以下统称特种设备作业人员</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，应当按照国家有关规定经特种设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备安全监督管理部门考核合格，取得国家统一格式的特种作业人员证书，方可从事相应的作业</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或者管理工作</w:t>
            </w:r>
          </w:p>
        </w:tc>
      </w:tr>
      <w:tr>
        <w:tblPrEx>
          <w:tblLayout w:type="fixed"/>
          <w:tblCellMar>
            <w:top w:w="0" w:type="dxa"/>
            <w:left w:w="0" w:type="dxa"/>
            <w:bottom w:w="0" w:type="dxa"/>
            <w:right w:w="0" w:type="dxa"/>
          </w:tblCellMar>
        </w:tblPrEx>
        <w:trPr>
          <w:trHeight w:val="633" w:hRule="atLeast"/>
        </w:trPr>
        <w:tc>
          <w:tcPr>
            <w:tcW w:w="792" w:type="dxa"/>
            <w:tcBorders>
              <w:top w:val="nil"/>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管理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796"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事故隐</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患报告</w:t>
            </w: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特种设备作业人员在作业过程中发现事故隐患或者其他不安全因素，应当立即向现场安全管</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理人员和单位有关负责人报告</w:t>
            </w:r>
          </w:p>
        </w:tc>
      </w:tr>
    </w:tbl>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考点十四</w:t>
      </w:r>
      <w:r>
        <w:rPr>
          <w:rFonts w:hint="eastAsia" w:ascii="微软雅黑" w:hAnsi="微软雅黑" w:eastAsia="微软雅黑" w:cs="微软雅黑"/>
          <w:color w:val="000000"/>
          <w:sz w:val="18"/>
          <w:szCs w:val="18"/>
        </w:rPr>
        <w:t>特种设备检验检测的规定(表2—14)</w:t>
      </w:r>
    </w:p>
    <w:p>
      <w:pPr>
        <w:rPr>
          <w:rFonts w:hint="eastAsia" w:ascii="微软雅黑" w:hAnsi="微软雅黑" w:eastAsia="微软雅黑" w:cs="微软雅黑"/>
          <w:color w:val="000000"/>
          <w:sz w:val="18"/>
          <w:szCs w:val="18"/>
        </w:rPr>
      </w:pPr>
      <w:r>
        <w:rPr>
          <w:rFonts w:hint="eastAsia" w:ascii="微软雅黑" w:hAnsi="微软雅黑" w:eastAsia="微软雅黑" w:cs="微软雅黑"/>
          <w:color w:val="000000"/>
          <w:sz w:val="18"/>
          <w:szCs w:val="18"/>
        </w:rPr>
        <w:t>表</w:t>
      </w:r>
      <w:r>
        <w:rPr>
          <w:rFonts w:hint="eastAsia" w:ascii="微软雅黑" w:hAnsi="微软雅黑" w:eastAsia="微软雅黑" w:cs="微软雅黑"/>
          <w:color w:val="000000"/>
          <w:sz w:val="18"/>
          <w:szCs w:val="18"/>
        </w:rPr>
        <w:t>2—14特种设备检验检测的规定</w:t>
      </w:r>
    </w:p>
    <w:tbl>
      <w:tblPr>
        <w:tblStyle w:val="4"/>
        <w:tblW w:w="8419" w:type="dxa"/>
        <w:tblInd w:w="15" w:type="dxa"/>
        <w:tblLayout w:type="fixed"/>
        <w:tblCellMar>
          <w:top w:w="0" w:type="dxa"/>
          <w:left w:w="0" w:type="dxa"/>
          <w:bottom w:w="0" w:type="dxa"/>
          <w:right w:w="0" w:type="dxa"/>
        </w:tblCellMar>
      </w:tblPr>
      <w:tblGrid>
        <w:gridCol w:w="792"/>
        <w:gridCol w:w="796"/>
        <w:gridCol w:w="6831"/>
      </w:tblGrid>
      <w:tr>
        <w:tblPrEx>
          <w:tblLayout w:type="fixed"/>
          <w:tblCellMar>
            <w:top w:w="0" w:type="dxa"/>
            <w:left w:w="0" w:type="dxa"/>
            <w:bottom w:w="0" w:type="dxa"/>
            <w:right w:w="0" w:type="dxa"/>
          </w:tblCellMar>
        </w:tblPrEx>
        <w:trPr>
          <w:trHeight w:val="29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规定内容</w:t>
            </w:r>
          </w:p>
        </w:tc>
      </w:tr>
      <w:tr>
        <w:tblPrEx>
          <w:tblLayout w:type="fixed"/>
          <w:tblCellMar>
            <w:top w:w="0" w:type="dxa"/>
            <w:left w:w="0" w:type="dxa"/>
            <w:bottom w:w="0" w:type="dxa"/>
            <w:right w:w="0" w:type="dxa"/>
          </w:tblCellMar>
        </w:tblPrEx>
        <w:trPr>
          <w:trHeight w:val="806" w:hRule="atLeast"/>
        </w:trPr>
        <w:tc>
          <w:tcPr>
            <w:tcW w:w="1588" w:type="dxa"/>
            <w:gridSpan w:val="2"/>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检验检测人员</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资格管理</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从事《特种设备安全监察条例》规定的监督检验、定期检验、型式试验和无损检测的特种设</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备检验检测人员应当经国务院特种设备安全监督管理部门组织考核合格，取得检验检测人员证</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书，方可从事检验检测工作</w:t>
            </w:r>
          </w:p>
        </w:tc>
      </w:tr>
      <w:tr>
        <w:tblPrEx>
          <w:tblLayout w:type="fixed"/>
          <w:tblCellMar>
            <w:top w:w="0" w:type="dxa"/>
            <w:left w:w="0" w:type="dxa"/>
            <w:bottom w:w="0" w:type="dxa"/>
            <w:right w:w="0" w:type="dxa"/>
          </w:tblCellMar>
        </w:tblPrEx>
        <w:trPr>
          <w:trHeight w:val="1113" w:hRule="atLeast"/>
        </w:trPr>
        <w:tc>
          <w:tcPr>
            <w:tcW w:w="792"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检验检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测活动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的规定</w:t>
            </w:r>
          </w:p>
          <w:p>
            <w:pPr>
              <w:autoSpaceDE w:val="0"/>
              <w:autoSpaceDN w:val="0"/>
              <w:rPr>
                <w:rFonts w:hint="eastAsia" w:ascii="微软雅黑" w:hAnsi="微软雅黑" w:eastAsia="微软雅黑" w:cs="微软雅黑"/>
                <w:color w:val="000000"/>
                <w:kern w:val="0"/>
                <w:sz w:val="18"/>
                <w:szCs w:val="18"/>
              </w:rPr>
            </w:pPr>
          </w:p>
        </w:tc>
        <w:tc>
          <w:tcPr>
            <w:tcW w:w="796"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检验检测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机构和检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验检测人</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员职业准则</w:t>
            </w: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诚信和方便企业的原则</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续表</w:t>
      </w:r>
    </w:p>
    <w:tbl>
      <w:tblPr>
        <w:tblStyle w:val="4"/>
        <w:tblW w:w="8409" w:type="dxa"/>
        <w:tblInd w:w="15" w:type="dxa"/>
        <w:tblLayout w:type="fixed"/>
        <w:tblCellMar>
          <w:top w:w="0" w:type="dxa"/>
          <w:left w:w="0" w:type="dxa"/>
          <w:bottom w:w="0" w:type="dxa"/>
          <w:right w:w="0" w:type="dxa"/>
        </w:tblCellMar>
      </w:tblPr>
      <w:tblGrid>
        <w:gridCol w:w="782"/>
        <w:gridCol w:w="797"/>
        <w:gridCol w:w="6830"/>
      </w:tblGrid>
      <w:tr>
        <w:tblPrEx>
          <w:tblLayout w:type="fixed"/>
          <w:tblCellMar>
            <w:top w:w="0" w:type="dxa"/>
            <w:left w:w="0" w:type="dxa"/>
            <w:bottom w:w="0" w:type="dxa"/>
            <w:right w:w="0" w:type="dxa"/>
          </w:tblCellMar>
        </w:tblPrEx>
        <w:trPr>
          <w:trHeight w:val="297" w:hRule="atLeast"/>
        </w:trPr>
        <w:tc>
          <w:tcPr>
            <w:tcW w:w="1579"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0"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规定内容</w:t>
            </w:r>
          </w:p>
        </w:tc>
      </w:tr>
      <w:tr>
        <w:tblPrEx>
          <w:tblLayout w:type="fixed"/>
          <w:tblCellMar>
            <w:top w:w="0" w:type="dxa"/>
            <w:left w:w="0" w:type="dxa"/>
            <w:bottom w:w="0" w:type="dxa"/>
            <w:right w:w="0" w:type="dxa"/>
          </w:tblCellMar>
        </w:tblPrEx>
        <w:trPr>
          <w:trHeight w:val="1257" w:hRule="atLeast"/>
        </w:trPr>
        <w:tc>
          <w:tcPr>
            <w:tcW w:w="782"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检验检</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测活动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的规定</w:t>
            </w:r>
          </w:p>
          <w:p>
            <w:pPr>
              <w:autoSpaceDE w:val="0"/>
              <w:autoSpaceDN w:val="0"/>
              <w:rPr>
                <w:rFonts w:hint="eastAsia" w:ascii="微软雅黑" w:hAnsi="微软雅黑" w:eastAsia="微软雅黑" w:cs="微软雅黑"/>
                <w:color w:val="000000"/>
                <w:kern w:val="0"/>
                <w:sz w:val="18"/>
                <w:szCs w:val="18"/>
              </w:rPr>
            </w:pPr>
          </w:p>
        </w:tc>
        <w:tc>
          <w:tcPr>
            <w:tcW w:w="797" w:type="dxa"/>
            <w:tcBorders>
              <w:top w:val="single" w:color="auto" w:sz="8" w:space="0"/>
              <w:left w:val="single" w:color="auto" w:sz="8"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检验检测</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的要求</w:t>
            </w:r>
          </w:p>
          <w:p>
            <w:pPr>
              <w:autoSpaceDE w:val="0"/>
              <w:autoSpaceDN w:val="0"/>
              <w:rPr>
                <w:rFonts w:hint="eastAsia" w:ascii="微软雅黑" w:hAnsi="微软雅黑" w:eastAsia="微软雅黑" w:cs="微软雅黑"/>
                <w:color w:val="000000"/>
                <w:kern w:val="0"/>
                <w:sz w:val="18"/>
                <w:szCs w:val="18"/>
              </w:rPr>
            </w:pPr>
          </w:p>
        </w:tc>
        <w:tc>
          <w:tcPr>
            <w:tcW w:w="6830"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特种设备检验检测机构和检验检测人员应当客观、公正、及时地出具检验检测结果、鉴</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定结论。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特种设备检验检测机构和检验检测人员不得从事特种设备的生产、销售，不得以其名义</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推荐或者监制、监销特种设备</w:t>
            </w:r>
          </w:p>
        </w:tc>
      </w:tr>
    </w:tbl>
    <w:p>
      <w:pPr>
        <w:autoSpaceDE w:val="0"/>
        <w:autoSpaceDN w:val="0"/>
        <w:adjustRightInd w:val="0"/>
        <w:jc w:val="left"/>
        <w:rPr>
          <w:rFonts w:hint="eastAsia" w:ascii="微软雅黑" w:hAnsi="微软雅黑" w:eastAsia="微软雅黑" w:cs="微软雅黑"/>
          <w:color w:val="000000"/>
          <w:kern w:val="0"/>
          <w:sz w:val="18"/>
          <w:szCs w:val="18"/>
        </w:rPr>
      </w:pP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考点十五</w:t>
      </w:r>
      <w:r>
        <w:rPr>
          <w:rFonts w:hint="eastAsia" w:ascii="微软雅黑" w:hAnsi="微软雅黑" w:eastAsia="微软雅黑" w:cs="微软雅黑"/>
          <w:color w:val="000000"/>
          <w:kern w:val="0"/>
          <w:sz w:val="18"/>
          <w:szCs w:val="18"/>
        </w:rPr>
        <w:t>特种设备事故的报告和调查处理规定(表2—15)</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2一15特种设备事故的报告和调查处理规定</w:t>
      </w:r>
    </w:p>
    <w:tbl>
      <w:tblPr>
        <w:tblStyle w:val="4"/>
        <w:tblW w:w="8419" w:type="dxa"/>
        <w:tblInd w:w="15" w:type="dxa"/>
        <w:tblLayout w:type="fixed"/>
        <w:tblCellMar>
          <w:top w:w="0" w:type="dxa"/>
          <w:left w:w="0" w:type="dxa"/>
          <w:bottom w:w="0" w:type="dxa"/>
          <w:right w:w="0" w:type="dxa"/>
        </w:tblCellMar>
      </w:tblPr>
      <w:tblGrid>
        <w:gridCol w:w="465"/>
        <w:gridCol w:w="1123"/>
        <w:gridCol w:w="6831"/>
      </w:tblGrid>
      <w:tr>
        <w:tblPrEx>
          <w:tblLayout w:type="fixed"/>
          <w:tblCellMar>
            <w:top w:w="0" w:type="dxa"/>
            <w:left w:w="0" w:type="dxa"/>
            <w:bottom w:w="0" w:type="dxa"/>
            <w:right w:w="0" w:type="dxa"/>
          </w:tblCellMar>
        </w:tblPrEx>
        <w:trPr>
          <w:trHeight w:val="307" w:hRule="atLeast"/>
        </w:trPr>
        <w:tc>
          <w:tcPr>
            <w:tcW w:w="1588" w:type="dxa"/>
            <w:gridSpan w:val="2"/>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规定内容</w:t>
            </w:r>
          </w:p>
        </w:tc>
      </w:tr>
      <w:tr>
        <w:tblPrEx>
          <w:tblLayout w:type="fixed"/>
          <w:tblCellMar>
            <w:top w:w="0" w:type="dxa"/>
            <w:left w:w="0" w:type="dxa"/>
            <w:bottom w:w="0" w:type="dxa"/>
            <w:right w:w="0" w:type="dxa"/>
          </w:tblCellMar>
        </w:tblPrEx>
        <w:trPr>
          <w:trHeight w:val="1454" w:hRule="atLeast"/>
        </w:trPr>
        <w:tc>
          <w:tcPr>
            <w:tcW w:w="465" w:type="dxa"/>
            <w:vMerge w:val="restart"/>
            <w:tcBorders>
              <w:top w:val="single" w:color="auto" w:sz="8" w:space="0"/>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特别重大事故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特种设备事故造成</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人以上死亡，或者</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人以上重伤</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包括急性工业中毒，下同</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或者</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亿元以上直接经济损失的。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(2)600MW</w:t>
            </w:r>
            <w:r>
              <w:rPr>
                <w:rFonts w:hint="eastAsia" w:ascii="微软雅黑" w:hAnsi="微软雅黑" w:eastAsia="微软雅黑" w:cs="微软雅黑"/>
                <w:color w:val="000000"/>
                <w:kern w:val="0"/>
                <w:sz w:val="18"/>
                <w:szCs w:val="18"/>
              </w:rPr>
              <w:t>以上锅炉爆炸的。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压力容器、压力管道有毒介质泄漏，造成</w:t>
            </w:r>
            <w:r>
              <w:rPr>
                <w:rFonts w:hint="eastAsia" w:ascii="微软雅黑" w:hAnsi="微软雅黑" w:eastAsia="微软雅黑" w:cs="微软雅黑"/>
                <w:color w:val="000000"/>
                <w:kern w:val="0"/>
                <w:sz w:val="18"/>
                <w:szCs w:val="18"/>
              </w:rPr>
              <w:t>15</w:t>
            </w:r>
            <w:r>
              <w:rPr>
                <w:rFonts w:hint="eastAsia" w:ascii="微软雅黑" w:hAnsi="微软雅黑" w:eastAsia="微软雅黑" w:cs="微软雅黑"/>
                <w:color w:val="000000"/>
                <w:kern w:val="0"/>
                <w:sz w:val="18"/>
                <w:szCs w:val="18"/>
              </w:rPr>
              <w:t>万人以上转移的。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客运索道、大型游乐设施高空滞留</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人以上并且时间在</w:t>
            </w:r>
            <w:r>
              <w:rPr>
                <w:rFonts w:hint="eastAsia" w:ascii="微软雅黑" w:hAnsi="微软雅黑" w:eastAsia="微软雅黑" w:cs="微软雅黑"/>
                <w:color w:val="000000"/>
                <w:kern w:val="0"/>
                <w:sz w:val="18"/>
                <w:szCs w:val="18"/>
              </w:rPr>
              <w:t>48h</w:t>
            </w:r>
            <w:r>
              <w:rPr>
                <w:rFonts w:hint="eastAsia" w:ascii="微软雅黑" w:hAnsi="微软雅黑" w:eastAsia="微软雅黑" w:cs="微软雅黑"/>
                <w:color w:val="000000"/>
                <w:kern w:val="0"/>
                <w:sz w:val="18"/>
                <w:szCs w:val="18"/>
              </w:rPr>
              <w:t>以上的</w:t>
            </w:r>
          </w:p>
        </w:tc>
      </w:tr>
      <w:tr>
        <w:tblPrEx>
          <w:tblLayout w:type="fixed"/>
          <w:tblCellMar>
            <w:top w:w="0" w:type="dxa"/>
            <w:left w:w="0" w:type="dxa"/>
            <w:bottom w:w="0" w:type="dxa"/>
            <w:right w:w="0" w:type="dxa"/>
          </w:tblCellMar>
        </w:tblPrEx>
        <w:trPr>
          <w:trHeight w:val="1435" w:hRule="atLeast"/>
        </w:trPr>
        <w:tc>
          <w:tcPr>
            <w:tcW w:w="465" w:type="dxa"/>
            <w:vMerge w:val="continue"/>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重大事故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(I)</w:t>
            </w:r>
            <w:r>
              <w:rPr>
                <w:rFonts w:hint="eastAsia" w:ascii="微软雅黑" w:hAnsi="微软雅黑" w:eastAsia="微软雅黑" w:cs="微软雅黑"/>
                <w:color w:val="000000"/>
                <w:kern w:val="0"/>
                <w:sz w:val="18"/>
                <w:szCs w:val="18"/>
              </w:rPr>
              <w:t>特种设备事故造成</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人以上</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人以下死亡，或者</w:t>
            </w:r>
            <w:r>
              <w:rPr>
                <w:rFonts w:hint="eastAsia" w:ascii="微软雅黑" w:hAnsi="微软雅黑" w:eastAsia="微软雅黑" w:cs="微软雅黑"/>
                <w:color w:val="000000"/>
                <w:kern w:val="0"/>
                <w:sz w:val="18"/>
                <w:szCs w:val="18"/>
              </w:rPr>
              <w:t>50</w:t>
            </w:r>
            <w:r>
              <w:rPr>
                <w:rFonts w:hint="eastAsia" w:ascii="微软雅黑" w:hAnsi="微软雅黑" w:eastAsia="微软雅黑" w:cs="微软雅黑"/>
                <w:color w:val="000000"/>
                <w:kern w:val="0"/>
                <w:sz w:val="18"/>
                <w:szCs w:val="18"/>
              </w:rPr>
              <w:t>人以上</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人以下重伤，或者</w:t>
            </w:r>
            <w:r>
              <w:rPr>
                <w:rFonts w:hint="eastAsia" w:ascii="微软雅黑" w:hAnsi="微软雅黑" w:eastAsia="微软雅黑" w:cs="微软雅黑"/>
                <w:color w:val="000000"/>
                <w:kern w:val="0"/>
                <w:sz w:val="18"/>
                <w:szCs w:val="18"/>
              </w:rPr>
              <w:t>5000</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万元以上</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亿元以下直接经济损失的。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(2)600MW</w:t>
            </w:r>
            <w:r>
              <w:rPr>
                <w:rFonts w:hint="eastAsia" w:ascii="微软雅黑" w:hAnsi="微软雅黑" w:eastAsia="微软雅黑" w:cs="微软雅黑"/>
                <w:color w:val="000000"/>
                <w:kern w:val="0"/>
                <w:sz w:val="18"/>
                <w:szCs w:val="18"/>
              </w:rPr>
              <w:t>以上锅炉因安全故障中断运行</w:t>
            </w:r>
            <w:r>
              <w:rPr>
                <w:rFonts w:hint="eastAsia" w:ascii="微软雅黑" w:hAnsi="微软雅黑" w:eastAsia="微软雅黑" w:cs="微软雅黑"/>
                <w:color w:val="000000"/>
                <w:kern w:val="0"/>
                <w:sz w:val="18"/>
                <w:szCs w:val="18"/>
              </w:rPr>
              <w:t>240h</w:t>
            </w:r>
            <w:r>
              <w:rPr>
                <w:rFonts w:hint="eastAsia" w:ascii="微软雅黑" w:hAnsi="微软雅黑" w:eastAsia="微软雅黑" w:cs="微软雅黑"/>
                <w:color w:val="000000"/>
                <w:kern w:val="0"/>
                <w:sz w:val="18"/>
                <w:szCs w:val="18"/>
              </w:rPr>
              <w:t>以上的。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压力容器、压力管道有毒介质泄漏，造成</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万人以上</w:t>
            </w:r>
            <w:r>
              <w:rPr>
                <w:rFonts w:hint="eastAsia" w:ascii="微软雅黑" w:hAnsi="微软雅黑" w:eastAsia="微软雅黑" w:cs="微软雅黑"/>
                <w:color w:val="000000"/>
                <w:kern w:val="0"/>
                <w:sz w:val="18"/>
                <w:szCs w:val="18"/>
              </w:rPr>
              <w:t>15</w:t>
            </w:r>
            <w:r>
              <w:rPr>
                <w:rFonts w:hint="eastAsia" w:ascii="微软雅黑" w:hAnsi="微软雅黑" w:eastAsia="微软雅黑" w:cs="微软雅黑"/>
                <w:color w:val="000000"/>
                <w:kern w:val="0"/>
                <w:sz w:val="18"/>
                <w:szCs w:val="18"/>
              </w:rPr>
              <w:t>万人以下转移的。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客运索道、大型游乐设施高空滞留</w:t>
            </w:r>
            <w:r>
              <w:rPr>
                <w:rFonts w:hint="eastAsia" w:ascii="微软雅黑" w:hAnsi="微软雅黑" w:eastAsia="微软雅黑" w:cs="微软雅黑"/>
                <w:color w:val="000000"/>
                <w:kern w:val="0"/>
                <w:sz w:val="18"/>
                <w:szCs w:val="18"/>
              </w:rPr>
              <w:t>100</w:t>
            </w:r>
            <w:r>
              <w:rPr>
                <w:rFonts w:hint="eastAsia" w:ascii="微软雅黑" w:hAnsi="微软雅黑" w:eastAsia="微软雅黑" w:cs="微软雅黑"/>
                <w:color w:val="000000"/>
                <w:kern w:val="0"/>
                <w:sz w:val="18"/>
                <w:szCs w:val="18"/>
              </w:rPr>
              <w:t>人以上并且时间在</w:t>
            </w:r>
            <w:r>
              <w:rPr>
                <w:rFonts w:hint="eastAsia" w:ascii="微软雅黑" w:hAnsi="微软雅黑" w:eastAsia="微软雅黑" w:cs="微软雅黑"/>
                <w:color w:val="000000"/>
                <w:kern w:val="0"/>
                <w:sz w:val="18"/>
                <w:szCs w:val="18"/>
              </w:rPr>
              <w:t>24h</w:t>
            </w:r>
            <w:r>
              <w:rPr>
                <w:rFonts w:hint="eastAsia" w:ascii="微软雅黑" w:hAnsi="微软雅黑" w:eastAsia="微软雅黑" w:cs="微软雅黑"/>
                <w:color w:val="000000"/>
                <w:kern w:val="0"/>
                <w:sz w:val="18"/>
                <w:szCs w:val="18"/>
              </w:rPr>
              <w:t>以上</w:t>
            </w:r>
            <w:r>
              <w:rPr>
                <w:rFonts w:hint="eastAsia" w:ascii="微软雅黑" w:hAnsi="微软雅黑" w:eastAsia="微软雅黑" w:cs="微软雅黑"/>
                <w:color w:val="000000"/>
                <w:kern w:val="0"/>
                <w:sz w:val="18"/>
                <w:szCs w:val="18"/>
              </w:rPr>
              <w:t>48h</w:t>
            </w:r>
            <w:r>
              <w:rPr>
                <w:rFonts w:hint="eastAsia" w:ascii="微软雅黑" w:hAnsi="微软雅黑" w:eastAsia="微软雅黑" w:cs="微软雅黑"/>
                <w:color w:val="000000"/>
                <w:kern w:val="0"/>
                <w:sz w:val="18"/>
                <w:szCs w:val="18"/>
              </w:rPr>
              <w:t>以下的</w:t>
            </w:r>
          </w:p>
        </w:tc>
      </w:tr>
      <w:tr>
        <w:tblPrEx>
          <w:tblLayout w:type="fixed"/>
          <w:tblCellMar>
            <w:top w:w="0" w:type="dxa"/>
            <w:left w:w="0" w:type="dxa"/>
            <w:bottom w:w="0" w:type="dxa"/>
            <w:right w:w="0" w:type="dxa"/>
          </w:tblCellMar>
        </w:tblPrEx>
        <w:trPr>
          <w:trHeight w:val="1598" w:hRule="atLeast"/>
        </w:trPr>
        <w:tc>
          <w:tcPr>
            <w:tcW w:w="465" w:type="dxa"/>
            <w:vMerge w:val="restart"/>
            <w:tcBorders>
              <w:top w:val="nil"/>
              <w:left w:val="single" w:color="auto" w:sz="12" w:space="0"/>
              <w:bottom w:val="nil"/>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种类</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划分</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较大事故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特种设备事故造成</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人以上</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人以下死亡，或者</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人以上</w:t>
            </w:r>
            <w:r>
              <w:rPr>
                <w:rFonts w:hint="eastAsia" w:ascii="微软雅黑" w:hAnsi="微软雅黑" w:eastAsia="微软雅黑" w:cs="微软雅黑"/>
                <w:color w:val="000000"/>
                <w:kern w:val="0"/>
                <w:sz w:val="18"/>
                <w:szCs w:val="18"/>
              </w:rPr>
              <w:t>50</w:t>
            </w:r>
            <w:r>
              <w:rPr>
                <w:rFonts w:hint="eastAsia" w:ascii="微软雅黑" w:hAnsi="微软雅黑" w:eastAsia="微软雅黑" w:cs="微软雅黑"/>
                <w:color w:val="000000"/>
                <w:kern w:val="0"/>
                <w:sz w:val="18"/>
                <w:szCs w:val="18"/>
              </w:rPr>
              <w:t>人以下重伤，或者</w:t>
            </w:r>
            <w:r>
              <w:rPr>
                <w:rFonts w:hint="eastAsia" w:ascii="微软雅黑" w:hAnsi="微软雅黑" w:eastAsia="微软雅黑" w:cs="微软雅黑"/>
                <w:color w:val="000000"/>
                <w:kern w:val="0"/>
                <w:sz w:val="18"/>
                <w:szCs w:val="18"/>
              </w:rPr>
              <w:t>1000</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万元以上</w:t>
            </w:r>
            <w:r>
              <w:rPr>
                <w:rFonts w:hint="eastAsia" w:ascii="微软雅黑" w:hAnsi="微软雅黑" w:eastAsia="微软雅黑" w:cs="微软雅黑"/>
                <w:color w:val="000000"/>
                <w:kern w:val="0"/>
                <w:sz w:val="18"/>
                <w:szCs w:val="18"/>
              </w:rPr>
              <w:t>5000</w:t>
            </w:r>
            <w:r>
              <w:rPr>
                <w:rFonts w:hint="eastAsia" w:ascii="微软雅黑" w:hAnsi="微软雅黑" w:eastAsia="微软雅黑" w:cs="微软雅黑"/>
                <w:color w:val="000000"/>
                <w:kern w:val="0"/>
                <w:sz w:val="18"/>
                <w:szCs w:val="18"/>
              </w:rPr>
              <w:t>万元以下直接经济损失的。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锅炉、压力容器、压力管道爆炸的。</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压力容器、压力管道有毒介质泄漏。造成</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万人以上</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万人以下转移的。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起重机械整体倾覆的。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客运索道、大型游乐设施高空滞留人员</w:t>
            </w:r>
            <w:r>
              <w:rPr>
                <w:rFonts w:hint="eastAsia" w:ascii="微软雅黑" w:hAnsi="微软雅黑" w:eastAsia="微软雅黑" w:cs="微软雅黑"/>
                <w:color w:val="000000"/>
                <w:kern w:val="0"/>
                <w:sz w:val="18"/>
                <w:szCs w:val="18"/>
              </w:rPr>
              <w:t>12h</w:t>
            </w:r>
            <w:r>
              <w:rPr>
                <w:rFonts w:hint="eastAsia" w:ascii="微软雅黑" w:hAnsi="微软雅黑" w:eastAsia="微软雅黑" w:cs="微软雅黑"/>
                <w:color w:val="000000"/>
                <w:kern w:val="0"/>
                <w:sz w:val="18"/>
                <w:szCs w:val="18"/>
              </w:rPr>
              <w:t>以上的</w:t>
            </w:r>
          </w:p>
        </w:tc>
      </w:tr>
      <w:tr>
        <w:tblPrEx>
          <w:tblLayout w:type="fixed"/>
          <w:tblCellMar>
            <w:top w:w="0" w:type="dxa"/>
            <w:left w:w="0" w:type="dxa"/>
            <w:bottom w:w="0" w:type="dxa"/>
            <w:right w:w="0" w:type="dxa"/>
          </w:tblCellMar>
        </w:tblPrEx>
        <w:trPr>
          <w:trHeight w:val="1920" w:hRule="atLeast"/>
        </w:trPr>
        <w:tc>
          <w:tcPr>
            <w:tcW w:w="465" w:type="dxa"/>
            <w:vMerge w:val="continue"/>
            <w:tcBorders>
              <w:top w:val="nil"/>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kern w:val="0"/>
                <w:sz w:val="18"/>
                <w:szCs w:val="18"/>
              </w:rPr>
            </w:pPr>
          </w:p>
        </w:tc>
        <w:tc>
          <w:tcPr>
            <w:tcW w:w="1123" w:type="dxa"/>
            <w:tcBorders>
              <w:top w:val="single" w:color="auto" w:sz="8" w:space="0"/>
              <w:left w:val="single" w:color="auto" w:sz="8"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一般事故</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特种设备事故造成</w:t>
            </w: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人以下死亡，或者</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人以下重伤，或者</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万元以上</w:t>
            </w:r>
            <w:r>
              <w:rPr>
                <w:rFonts w:hint="eastAsia" w:ascii="微软雅黑" w:hAnsi="微软雅黑" w:eastAsia="微软雅黑" w:cs="微软雅黑"/>
                <w:color w:val="000000"/>
                <w:kern w:val="0"/>
                <w:sz w:val="18"/>
                <w:szCs w:val="18"/>
              </w:rPr>
              <w:t>1000</w:t>
            </w:r>
            <w:r>
              <w:rPr>
                <w:rFonts w:hint="eastAsia" w:ascii="微软雅黑" w:hAnsi="微软雅黑" w:eastAsia="微软雅黑" w:cs="微软雅黑"/>
                <w:color w:val="000000"/>
                <w:kern w:val="0"/>
                <w:sz w:val="18"/>
                <w:szCs w:val="18"/>
              </w:rPr>
              <w:t>万元以下</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直接经济损失的。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压力容器、压力管道有毒介质泄漏，造成</w:t>
            </w:r>
            <w:r>
              <w:rPr>
                <w:rFonts w:hint="eastAsia" w:ascii="微软雅黑" w:hAnsi="微软雅黑" w:eastAsia="微软雅黑" w:cs="微软雅黑"/>
                <w:color w:val="000000"/>
                <w:kern w:val="0"/>
                <w:sz w:val="18"/>
                <w:szCs w:val="18"/>
              </w:rPr>
              <w:t>500</w:t>
            </w:r>
            <w:r>
              <w:rPr>
                <w:rFonts w:hint="eastAsia" w:ascii="微软雅黑" w:hAnsi="微软雅黑" w:eastAsia="微软雅黑" w:cs="微软雅黑"/>
                <w:color w:val="000000"/>
                <w:kern w:val="0"/>
                <w:sz w:val="18"/>
                <w:szCs w:val="18"/>
              </w:rPr>
              <w:t>人以上</w:t>
            </w: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万人以下转移的。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电梯轿厢滞留人员</w:t>
            </w:r>
            <w:r>
              <w:rPr>
                <w:rFonts w:hint="eastAsia" w:ascii="微软雅黑" w:hAnsi="微软雅黑" w:eastAsia="微软雅黑" w:cs="微软雅黑"/>
                <w:color w:val="000000"/>
                <w:kern w:val="0"/>
                <w:sz w:val="18"/>
                <w:szCs w:val="18"/>
              </w:rPr>
              <w:t>2h</w:t>
            </w:r>
            <w:r>
              <w:rPr>
                <w:rFonts w:hint="eastAsia" w:ascii="微软雅黑" w:hAnsi="微软雅黑" w:eastAsia="微软雅黑" w:cs="微软雅黑"/>
                <w:color w:val="000000"/>
                <w:kern w:val="0"/>
                <w:sz w:val="18"/>
                <w:szCs w:val="18"/>
              </w:rPr>
              <w:t>以上的。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起重机械主要受力结构件折断或者起升机构坠落的。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客运索道高空滞留人员</w:t>
            </w:r>
            <w:r>
              <w:rPr>
                <w:rFonts w:hint="eastAsia" w:ascii="微软雅黑" w:hAnsi="微软雅黑" w:eastAsia="微软雅黑" w:cs="微软雅黑"/>
                <w:color w:val="000000"/>
                <w:kern w:val="0"/>
                <w:sz w:val="18"/>
                <w:szCs w:val="18"/>
              </w:rPr>
              <w:t>3.5h</w:t>
            </w:r>
            <w:r>
              <w:rPr>
                <w:rFonts w:hint="eastAsia" w:ascii="微软雅黑" w:hAnsi="微软雅黑" w:eastAsia="微软雅黑" w:cs="微软雅黑"/>
                <w:color w:val="000000"/>
                <w:kern w:val="0"/>
                <w:sz w:val="18"/>
                <w:szCs w:val="18"/>
              </w:rPr>
              <w:t>以上</w:t>
            </w:r>
            <w:r>
              <w:rPr>
                <w:rFonts w:hint="eastAsia" w:ascii="微软雅黑" w:hAnsi="微软雅黑" w:eastAsia="微软雅黑" w:cs="微软雅黑"/>
                <w:color w:val="000000"/>
                <w:kern w:val="0"/>
                <w:sz w:val="18"/>
                <w:szCs w:val="18"/>
              </w:rPr>
              <w:t>12h</w:t>
            </w:r>
            <w:r>
              <w:rPr>
                <w:rFonts w:hint="eastAsia" w:ascii="微软雅黑" w:hAnsi="微软雅黑" w:eastAsia="微软雅黑" w:cs="微软雅黑"/>
                <w:color w:val="000000"/>
                <w:kern w:val="0"/>
                <w:sz w:val="18"/>
                <w:szCs w:val="18"/>
              </w:rPr>
              <w:t>以下的。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(6)</w:t>
            </w:r>
            <w:r>
              <w:rPr>
                <w:rFonts w:hint="eastAsia" w:ascii="微软雅黑" w:hAnsi="微软雅黑" w:eastAsia="微软雅黑" w:cs="微软雅黑"/>
                <w:color w:val="000000"/>
                <w:kern w:val="0"/>
                <w:sz w:val="18"/>
                <w:szCs w:val="18"/>
              </w:rPr>
              <w:t>大型游乐设施高空滞留人员</w:t>
            </w:r>
            <w:r>
              <w:rPr>
                <w:rFonts w:hint="eastAsia" w:ascii="微软雅黑" w:hAnsi="微软雅黑" w:eastAsia="微软雅黑" w:cs="微软雅黑"/>
                <w:color w:val="000000"/>
                <w:kern w:val="0"/>
                <w:sz w:val="18"/>
                <w:szCs w:val="18"/>
              </w:rPr>
              <w:t>1h</w:t>
            </w:r>
            <w:r>
              <w:rPr>
                <w:rFonts w:hint="eastAsia" w:ascii="微软雅黑" w:hAnsi="微软雅黑" w:eastAsia="微软雅黑" w:cs="微软雅黑"/>
                <w:color w:val="000000"/>
                <w:kern w:val="0"/>
                <w:sz w:val="18"/>
                <w:szCs w:val="18"/>
              </w:rPr>
              <w:t>以上</w:t>
            </w:r>
            <w:r>
              <w:rPr>
                <w:rFonts w:hint="eastAsia" w:ascii="微软雅黑" w:hAnsi="微软雅黑" w:eastAsia="微软雅黑" w:cs="微软雅黑"/>
                <w:color w:val="000000"/>
                <w:kern w:val="0"/>
                <w:sz w:val="18"/>
                <w:szCs w:val="18"/>
              </w:rPr>
              <w:t>12h</w:t>
            </w:r>
            <w:r>
              <w:rPr>
                <w:rFonts w:hint="eastAsia" w:ascii="微软雅黑" w:hAnsi="微软雅黑" w:eastAsia="微软雅黑" w:cs="微软雅黑"/>
                <w:color w:val="000000"/>
                <w:kern w:val="0"/>
                <w:sz w:val="18"/>
                <w:szCs w:val="18"/>
              </w:rPr>
              <w:t>以下的</w:t>
            </w:r>
          </w:p>
        </w:tc>
      </w:tr>
      <w:tr>
        <w:tblPrEx>
          <w:tblLayout w:type="fixed"/>
          <w:tblCellMar>
            <w:top w:w="0" w:type="dxa"/>
            <w:left w:w="0" w:type="dxa"/>
            <w:bottom w:w="0" w:type="dxa"/>
            <w:right w:w="0" w:type="dxa"/>
          </w:tblCellMar>
        </w:tblPrEx>
        <w:trPr>
          <w:trHeight w:val="1756" w:hRule="atLeast"/>
        </w:trPr>
        <w:tc>
          <w:tcPr>
            <w:tcW w:w="1588" w:type="dxa"/>
            <w:gridSpan w:val="2"/>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事故调查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特别重大事故由国务院或者国务院授权有关部门组织事故调查组进行调查。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重大事故由国务院特种设备安全监督管理部门会同有关部门组织事故调查组进行调查。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(3)</w:t>
            </w:r>
            <w:r>
              <w:rPr>
                <w:rFonts w:hint="eastAsia" w:ascii="微软雅黑" w:hAnsi="微软雅黑" w:eastAsia="微软雅黑" w:cs="微软雅黑"/>
                <w:color w:val="000000"/>
                <w:kern w:val="0"/>
                <w:sz w:val="18"/>
                <w:szCs w:val="18"/>
              </w:rPr>
              <w:t>较大事故由省、自治区、直辖市特种设备安全监督管理部门会同有关部门组织事故调查</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组进行调查。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(4)</w:t>
            </w:r>
            <w:r>
              <w:rPr>
                <w:rFonts w:hint="eastAsia" w:ascii="微软雅黑" w:hAnsi="微软雅黑" w:eastAsia="微软雅黑" w:cs="微软雅黑"/>
                <w:color w:val="000000"/>
                <w:kern w:val="0"/>
                <w:sz w:val="18"/>
                <w:szCs w:val="18"/>
              </w:rPr>
              <w:t>一般事故由设区的市的特种设备安全监督管理部门会同有关部门组织事故调查组进行</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调查</w:t>
            </w:r>
          </w:p>
        </w:tc>
      </w:tr>
    </w:tbl>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考点十六</w:t>
      </w:r>
      <w:r>
        <w:rPr>
          <w:rFonts w:hint="eastAsia" w:ascii="微软雅黑" w:hAnsi="微软雅黑" w:eastAsia="微软雅黑" w:cs="微软雅黑"/>
          <w:color w:val="000000"/>
          <w:kern w:val="0"/>
          <w:sz w:val="18"/>
          <w:szCs w:val="18"/>
        </w:rPr>
        <w:t>特种设备安全违法行为应负的法律责任(表2—16)</w:t>
      </w:r>
    </w:p>
    <w:p>
      <w:pPr>
        <w:autoSpaceDE w:val="0"/>
        <w:autoSpaceDN w:val="0"/>
        <w:adjustRightInd w:val="0"/>
        <w:jc w:val="left"/>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表</w:t>
      </w:r>
      <w:r>
        <w:rPr>
          <w:rFonts w:hint="eastAsia" w:ascii="微软雅黑" w:hAnsi="微软雅黑" w:eastAsia="微软雅黑" w:cs="微软雅黑"/>
          <w:color w:val="000000"/>
          <w:kern w:val="0"/>
          <w:sz w:val="18"/>
          <w:szCs w:val="18"/>
        </w:rPr>
        <w:t>2-16特种设备安全违法行为应负的法律责任</w:t>
      </w:r>
    </w:p>
    <w:tbl>
      <w:tblPr>
        <w:tblStyle w:val="4"/>
        <w:tblW w:w="8419" w:type="dxa"/>
        <w:tblInd w:w="15" w:type="dxa"/>
        <w:tblLayout w:type="fixed"/>
        <w:tblCellMar>
          <w:top w:w="0" w:type="dxa"/>
          <w:left w:w="0" w:type="dxa"/>
          <w:bottom w:w="0" w:type="dxa"/>
          <w:right w:w="0" w:type="dxa"/>
        </w:tblCellMar>
      </w:tblPr>
      <w:tblGrid>
        <w:gridCol w:w="1588"/>
        <w:gridCol w:w="6831"/>
      </w:tblGrid>
      <w:tr>
        <w:tblPrEx>
          <w:tblLayout w:type="fixed"/>
          <w:tblCellMar>
            <w:top w:w="0" w:type="dxa"/>
            <w:left w:w="0" w:type="dxa"/>
            <w:bottom w:w="0" w:type="dxa"/>
            <w:right w:w="0" w:type="dxa"/>
          </w:tblCellMar>
        </w:tblPrEx>
        <w:trPr>
          <w:trHeight w:val="302" w:hRule="atLeast"/>
        </w:trPr>
        <w:tc>
          <w:tcPr>
            <w:tcW w:w="1588" w:type="dxa"/>
            <w:tcBorders>
              <w:top w:val="single" w:color="auto" w:sz="12"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项目</w:t>
            </w:r>
          </w:p>
        </w:tc>
        <w:tc>
          <w:tcPr>
            <w:tcW w:w="6831" w:type="dxa"/>
            <w:tcBorders>
              <w:top w:val="single" w:color="auto" w:sz="12"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规定内容</w:t>
            </w:r>
          </w:p>
        </w:tc>
      </w:tr>
      <w:tr>
        <w:tblPrEx>
          <w:tblLayout w:type="fixed"/>
          <w:tblCellMar>
            <w:top w:w="0" w:type="dxa"/>
            <w:left w:w="0" w:type="dxa"/>
            <w:bottom w:w="0" w:type="dxa"/>
            <w:right w:w="0" w:type="dxa"/>
          </w:tblCellMar>
        </w:tblPrEx>
        <w:trPr>
          <w:trHeight w:val="787"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擅自从事特种设备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设计、制造活动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的法律责任</w:t>
            </w: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未经许可，擅自从事压力容器设计活动，由特种设备安全监督管理部门予以取缔，处</w:t>
            </w:r>
            <w:r>
              <w:rPr>
                <w:rFonts w:hint="eastAsia" w:ascii="微软雅黑" w:hAnsi="微软雅黑" w:eastAsia="微软雅黑" w:cs="微软雅黑"/>
                <w:color w:val="000000"/>
                <w:kern w:val="0"/>
                <w:sz w:val="18"/>
                <w:szCs w:val="18"/>
              </w:rPr>
              <w:t>5</w:t>
            </w:r>
            <w:r>
              <w:rPr>
                <w:rFonts w:hint="eastAsia" w:ascii="微软雅黑" w:hAnsi="微软雅黑" w:eastAsia="微软雅黑" w:cs="微软雅黑"/>
                <w:color w:val="000000"/>
                <w:kern w:val="0"/>
                <w:sz w:val="18"/>
                <w:szCs w:val="18"/>
              </w:rPr>
              <w:t>万元</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以上</w:t>
            </w:r>
            <w:r>
              <w:rPr>
                <w:rFonts w:hint="eastAsia" w:ascii="微软雅黑" w:hAnsi="微软雅黑" w:eastAsia="微软雅黑" w:cs="微软雅黑"/>
                <w:color w:val="000000"/>
                <w:kern w:val="0"/>
                <w:sz w:val="18"/>
                <w:szCs w:val="18"/>
              </w:rPr>
              <w:t>20</w:t>
            </w:r>
            <w:r>
              <w:rPr>
                <w:rFonts w:hint="eastAsia" w:ascii="微软雅黑" w:hAnsi="微软雅黑" w:eastAsia="微软雅黑" w:cs="微软雅黑"/>
                <w:color w:val="000000"/>
                <w:kern w:val="0"/>
                <w:sz w:val="18"/>
                <w:szCs w:val="18"/>
              </w:rPr>
              <w:t>万元以下罚款</w:t>
            </w:r>
          </w:p>
          <w:p>
            <w:pPr>
              <w:autoSpaceDE w:val="0"/>
              <w:autoSpaceDN w:val="0"/>
              <w:rPr>
                <w:rFonts w:hint="eastAsia" w:ascii="微软雅黑" w:hAnsi="微软雅黑" w:eastAsia="微软雅黑" w:cs="微软雅黑"/>
                <w:color w:val="000000"/>
                <w:kern w:val="0"/>
                <w:sz w:val="18"/>
                <w:szCs w:val="18"/>
              </w:rPr>
            </w:pPr>
          </w:p>
        </w:tc>
      </w:tr>
      <w:tr>
        <w:tblPrEx>
          <w:tblLayout w:type="fixed"/>
          <w:tblCellMar>
            <w:top w:w="0" w:type="dxa"/>
            <w:left w:w="0" w:type="dxa"/>
            <w:bottom w:w="0" w:type="dxa"/>
            <w:right w:w="0" w:type="dxa"/>
          </w:tblCellMar>
        </w:tblPrEx>
        <w:trPr>
          <w:trHeight w:val="1430" w:hRule="atLeast"/>
        </w:trPr>
        <w:tc>
          <w:tcPr>
            <w:tcW w:w="1588" w:type="dxa"/>
            <w:tcBorders>
              <w:top w:val="single" w:color="auto" w:sz="8" w:space="0"/>
              <w:left w:val="single" w:color="auto" w:sz="12" w:space="0"/>
              <w:bottom w:val="single" w:color="auto" w:sz="8"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擅自从事特种设备</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生产、安装、改造、</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维修保养活动</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的法律责任</w:t>
            </w: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8"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未经许可，擅自从事锅炉、压力容器、电梯、起重机械、客运索道、大型游乐设施、场</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厂</w:t>
            </w:r>
            <w:r>
              <w:rPr>
                <w:rFonts w:hint="eastAsia" w:ascii="微软雅黑" w:hAnsi="微软雅黑" w:eastAsia="微软雅黑" w:cs="微软雅黑"/>
                <w:color w:val="000000"/>
                <w:kern w:val="0"/>
                <w:sz w:val="18"/>
                <w:szCs w:val="18"/>
              </w:rPr>
              <w:t>)</w:t>
            </w:r>
            <w:r>
              <w:rPr>
                <w:rFonts w:hint="eastAsia" w:ascii="微软雅黑" w:hAnsi="微软雅黑" w:eastAsia="微软雅黑" w:cs="微软雅黑"/>
                <w:color w:val="000000"/>
                <w:kern w:val="0"/>
                <w:sz w:val="18"/>
                <w:szCs w:val="18"/>
              </w:rPr>
              <w:t>内专用机动车辆及其安全附件、安全保护装置的制造、安装、改造以及压力管道元件的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制造活动的，由特种设备安全监督管理部门予以取缔，没收非法制造的产品，已经实施安装、</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改造的，责令恢复原状或者责令限期由取得许可的单位重新安装、改造，处</w:t>
            </w:r>
            <w:r>
              <w:rPr>
                <w:rFonts w:hint="eastAsia" w:ascii="微软雅黑" w:hAnsi="微软雅黑" w:eastAsia="微软雅黑" w:cs="微软雅黑"/>
                <w:color w:val="000000"/>
                <w:kern w:val="0"/>
                <w:sz w:val="18"/>
                <w:szCs w:val="18"/>
              </w:rPr>
              <w:t>10</w:t>
            </w:r>
            <w:r>
              <w:rPr>
                <w:rFonts w:hint="eastAsia" w:ascii="微软雅黑" w:hAnsi="微软雅黑" w:eastAsia="微软雅黑" w:cs="微软雅黑"/>
                <w:color w:val="000000"/>
                <w:kern w:val="0"/>
                <w:sz w:val="18"/>
                <w:szCs w:val="18"/>
              </w:rPr>
              <w:t>万元以上</w:t>
            </w:r>
            <w:r>
              <w:rPr>
                <w:rFonts w:hint="eastAsia" w:ascii="微软雅黑" w:hAnsi="微软雅黑" w:eastAsia="微软雅黑" w:cs="微软雅黑"/>
                <w:color w:val="000000"/>
                <w:kern w:val="0"/>
                <w:sz w:val="18"/>
                <w:szCs w:val="18"/>
              </w:rPr>
              <w:t>50</w:t>
            </w:r>
            <w:r>
              <w:rPr>
                <w:rFonts w:hint="eastAsia" w:ascii="微软雅黑" w:hAnsi="微软雅黑" w:eastAsia="微软雅黑" w:cs="微软雅黑"/>
                <w:color w:val="000000"/>
                <w:kern w:val="0"/>
                <w:sz w:val="18"/>
                <w:szCs w:val="18"/>
              </w:rPr>
              <w:t>万</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元以下罚款</w:t>
            </w:r>
          </w:p>
        </w:tc>
      </w:tr>
      <w:tr>
        <w:tblPrEx>
          <w:tblLayout w:type="fixed"/>
          <w:tblCellMar>
            <w:top w:w="0" w:type="dxa"/>
            <w:left w:w="0" w:type="dxa"/>
            <w:bottom w:w="0" w:type="dxa"/>
            <w:right w:w="0" w:type="dxa"/>
          </w:tblCellMar>
        </w:tblPrEx>
        <w:trPr>
          <w:trHeight w:val="1593" w:hRule="atLeast"/>
        </w:trPr>
        <w:tc>
          <w:tcPr>
            <w:tcW w:w="1588" w:type="dxa"/>
            <w:tcBorders>
              <w:top w:val="single" w:color="auto" w:sz="8" w:space="0"/>
              <w:left w:val="single" w:color="auto" w:sz="12" w:space="0"/>
              <w:bottom w:val="single" w:color="auto" w:sz="12" w:space="0"/>
              <w:right w:val="single" w:color="auto" w:sz="8" w:space="0"/>
            </w:tcBorders>
          </w:tcPr>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特种设备使用</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单位的法律责任</w:t>
            </w:r>
          </w:p>
          <w:p>
            <w:pPr>
              <w:autoSpaceDE w:val="0"/>
              <w:autoSpaceDN w:val="0"/>
              <w:rPr>
                <w:rFonts w:hint="eastAsia" w:ascii="微软雅黑" w:hAnsi="微软雅黑" w:eastAsia="微软雅黑" w:cs="微软雅黑"/>
                <w:color w:val="000000"/>
                <w:kern w:val="0"/>
                <w:sz w:val="18"/>
                <w:szCs w:val="18"/>
              </w:rPr>
            </w:pPr>
          </w:p>
          <w:p>
            <w:pPr>
              <w:autoSpaceDE w:val="0"/>
              <w:autoSpaceDN w:val="0"/>
              <w:rPr>
                <w:rFonts w:hint="eastAsia" w:ascii="微软雅黑" w:hAnsi="微软雅黑" w:eastAsia="微软雅黑" w:cs="微软雅黑"/>
                <w:color w:val="000000"/>
                <w:kern w:val="0"/>
                <w:sz w:val="18"/>
                <w:szCs w:val="18"/>
              </w:rPr>
            </w:pPr>
          </w:p>
        </w:tc>
        <w:tc>
          <w:tcPr>
            <w:tcW w:w="6831" w:type="dxa"/>
            <w:tcBorders>
              <w:top w:val="single" w:color="auto" w:sz="8" w:space="0"/>
              <w:left w:val="single" w:color="auto" w:sz="8" w:space="0"/>
              <w:bottom w:val="single" w:color="auto" w:sz="12" w:space="0"/>
              <w:right w:val="single" w:color="auto" w:sz="12" w:space="0"/>
            </w:tcBorders>
          </w:tcPr>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特种设备使用单位有下列情形之一的，由特种设备安全监督管理部门责令限期改正；逾期未</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改正的，处</w:t>
            </w:r>
            <w:r>
              <w:rPr>
                <w:rFonts w:hint="eastAsia" w:ascii="微软雅黑" w:hAnsi="微软雅黑" w:eastAsia="微软雅黑" w:cs="微软雅黑"/>
                <w:color w:val="000000"/>
                <w:kern w:val="0"/>
                <w:sz w:val="18"/>
                <w:szCs w:val="18"/>
              </w:rPr>
              <w:t>2000</w:t>
            </w:r>
            <w:r>
              <w:rPr>
                <w:rFonts w:hint="eastAsia" w:ascii="微软雅黑" w:hAnsi="微软雅黑" w:eastAsia="微软雅黑" w:cs="微软雅黑"/>
                <w:color w:val="000000"/>
                <w:kern w:val="0"/>
                <w:sz w:val="18"/>
                <w:szCs w:val="18"/>
              </w:rPr>
              <w:t>元以上</w:t>
            </w: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万元以下罚款；情节严重的，责令停止使用或者停产停业整顿：</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(1)</w:t>
            </w:r>
            <w:r>
              <w:rPr>
                <w:rFonts w:hint="eastAsia" w:ascii="微软雅黑" w:hAnsi="微软雅黑" w:eastAsia="微软雅黑" w:cs="微软雅黑"/>
                <w:color w:val="000000"/>
                <w:kern w:val="0"/>
                <w:sz w:val="18"/>
                <w:szCs w:val="18"/>
              </w:rPr>
              <w:t>特种设备投入使用前或者投入使用后</w:t>
            </w:r>
            <w:r>
              <w:rPr>
                <w:rFonts w:hint="eastAsia" w:ascii="微软雅黑" w:hAnsi="微软雅黑" w:eastAsia="微软雅黑" w:cs="微软雅黑"/>
                <w:color w:val="000000"/>
                <w:kern w:val="0"/>
                <w:sz w:val="18"/>
                <w:szCs w:val="18"/>
              </w:rPr>
              <w:t>30</w:t>
            </w:r>
            <w:r>
              <w:rPr>
                <w:rFonts w:hint="eastAsia" w:ascii="微软雅黑" w:hAnsi="微软雅黑" w:eastAsia="微软雅黑" w:cs="微软雅黑"/>
                <w:color w:val="000000"/>
                <w:kern w:val="0"/>
                <w:sz w:val="18"/>
                <w:szCs w:val="18"/>
              </w:rPr>
              <w:t>日内，未向特种设备安全监督管理部门登记，</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擅自将其投入使用的。</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(2)</w:t>
            </w:r>
            <w:r>
              <w:rPr>
                <w:rFonts w:hint="eastAsia" w:ascii="微软雅黑" w:hAnsi="微软雅黑" w:eastAsia="微软雅黑" w:cs="微软雅黑"/>
                <w:color w:val="000000"/>
                <w:kern w:val="0"/>
                <w:sz w:val="18"/>
                <w:szCs w:val="18"/>
              </w:rPr>
              <w:t>特种设备出现故障或者发生异常情况，未对其进行全面检查、消除事故隐患而继续投入</w:t>
            </w:r>
          </w:p>
          <w:p>
            <w:pPr>
              <w:autoSpaceDE w:val="0"/>
              <w:autoSpaceDN w:val="0"/>
              <w:rPr>
                <w:rFonts w:hint="eastAsia" w:ascii="微软雅黑" w:hAnsi="微软雅黑" w:eastAsia="微软雅黑" w:cs="微软雅黑"/>
                <w:color w:val="000000"/>
                <w:kern w:val="0"/>
                <w:sz w:val="18"/>
                <w:szCs w:val="18"/>
              </w:rPr>
            </w:pPr>
            <w:r>
              <w:rPr>
                <w:rFonts w:hint="eastAsia" w:ascii="微软雅黑" w:hAnsi="微软雅黑" w:eastAsia="微软雅黑" w:cs="微软雅黑"/>
                <w:color w:val="000000"/>
                <w:kern w:val="0"/>
                <w:sz w:val="18"/>
                <w:szCs w:val="18"/>
              </w:rPr>
              <w:t>使用的，等</w:t>
            </w:r>
          </w:p>
        </w:tc>
      </w:tr>
    </w:tbl>
    <w:p>
      <w:pPr>
        <w:rPr>
          <w:rFonts w:hint="eastAsia" w:ascii="微软雅黑" w:hAnsi="微软雅黑" w:eastAsia="微软雅黑" w:cs="微软雅黑"/>
          <w:color w:val="000000"/>
          <w:sz w:val="18"/>
          <w:szCs w:val="1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A0000287" w:usb1="28CF3C52"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C1320"/>
    <w:rsid w:val="00032672"/>
    <w:rsid w:val="000B0699"/>
    <w:rsid w:val="000B3091"/>
    <w:rsid w:val="00137409"/>
    <w:rsid w:val="00151E4F"/>
    <w:rsid w:val="00247B52"/>
    <w:rsid w:val="002644BB"/>
    <w:rsid w:val="002D4832"/>
    <w:rsid w:val="004D6BAF"/>
    <w:rsid w:val="005C1320"/>
    <w:rsid w:val="00656891"/>
    <w:rsid w:val="0096245D"/>
    <w:rsid w:val="00992E6E"/>
    <w:rsid w:val="009C1B50"/>
    <w:rsid w:val="00A0158A"/>
    <w:rsid w:val="00AF45B0"/>
    <w:rsid w:val="00CF1667"/>
    <w:rsid w:val="39AD4AEF"/>
    <w:rsid w:val="63C24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5"/>
    <w:unhideWhenUsed/>
    <w:qFormat/>
    <w:uiPriority w:val="99"/>
    <w:rPr>
      <w:sz w:val="18"/>
      <w:szCs w:val="18"/>
    </w:rPr>
  </w:style>
  <w:style w:type="character" w:customStyle="1" w:styleId="5">
    <w:name w:val="批注框文本 Char"/>
    <w:basedOn w:val="3"/>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32</Pages>
  <Words>4630</Words>
  <Characters>26397</Characters>
  <Lines>219</Lines>
  <Paragraphs>61</Paragraphs>
  <TotalTime>0</TotalTime>
  <ScaleCrop>false</ScaleCrop>
  <LinksUpToDate>false</LinksUpToDate>
  <CharactersWithSpaces>30966</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2017-06-19T01:04:00Z</dcterms:created>
  <dc:creator>个人用户</dc:creator>
  <cp:lastModifiedBy>hp</cp:lastModifiedBy>
  <dcterms:modified xsi:type="dcterms:W3CDTF">2017-08-26T13:27:13Z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